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92" w:rsidRDefault="00A419DF" w:rsidP="00AC5AFD">
      <w:pPr>
        <w:pBdr>
          <w:bottom w:val="single" w:sz="4" w:space="1" w:color="auto"/>
        </w:pBdr>
        <w:spacing w:after="0" w:line="240" w:lineRule="auto"/>
        <w:jc w:val="right"/>
        <w:rPr>
          <w:rFonts w:cstheme="minorHAnsi"/>
          <w:b/>
          <w:sz w:val="32"/>
          <w:szCs w:val="32"/>
        </w:rPr>
      </w:pPr>
      <w:r>
        <w:rPr>
          <w:rFonts w:cstheme="minorHAnsi"/>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-404495</wp:posOffset>
                </wp:positionV>
                <wp:extent cx="1638935" cy="63627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36270"/>
                        </a:xfrm>
                        <a:prstGeom prst="rect">
                          <a:avLst/>
                        </a:prstGeom>
                        <a:solidFill>
                          <a:srgbClr val="FFFFFF"/>
                        </a:solidFill>
                        <a:ln w="9525">
                          <a:noFill/>
                          <a:miter lim="800000"/>
                          <a:headEnd/>
                          <a:tailEnd/>
                        </a:ln>
                      </wps:spPr>
                      <wps:txbx>
                        <w:txbxContent>
                          <w:p w:rsidR="00B2226F" w:rsidRDefault="00B2226F" w:rsidP="00790F92">
                            <w:r>
                              <w:rPr>
                                <w:noProof/>
                              </w:rPr>
                              <w:drawing>
                                <wp:inline distT="0" distB="0" distL="0" distR="0">
                                  <wp:extent cx="1431985" cy="597973"/>
                                  <wp:effectExtent l="0" t="0" r="0" b="0"/>
                                  <wp:docPr id="3" name="Image 3" descr="Description : P:\10 - courriers &amp; logos FPSPP\LOGO FPSPP Gd TRANSPARENT4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10 - courriers &amp; logos FPSPP\LOGO FPSPP Gd TRANSPARENT410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85" cy="5979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9.4pt;margin-top:-31.85pt;width:129.0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" stroked="f">
                <v:textbox>
                  <w:txbxContent>
                    <w:p w:rsidR="00B2226F" w:rsidRDefault="00B2226F" w:rsidP="00790F92">
                      <w:r>
                        <w:rPr>
                          <w:noProof/>
                        </w:rPr>
                        <w:drawing>
                          <wp:inline distT="0" distB="0" distL="0" distR="0">
                            <wp:extent cx="1431985" cy="597973"/>
                            <wp:effectExtent l="0" t="0" r="0" b="0"/>
                            <wp:docPr id="3" name="Image 3" descr="Description : P:\10 - courriers &amp; logos FPSPP\LOGO FPSPP Gd TRANSPARENT4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P:\10 - courriers &amp; logos FPSPP\LOGO FPSPP Gd TRANSPARENT410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85" cy="597973"/>
                                    </a:xfrm>
                                    <a:prstGeom prst="rect">
                                      <a:avLst/>
                                    </a:prstGeom>
                                    <a:noFill/>
                                    <a:ln>
                                      <a:noFill/>
                                    </a:ln>
                                  </pic:spPr>
                                </pic:pic>
                              </a:graphicData>
                            </a:graphic>
                          </wp:inline>
                        </w:drawing>
                      </w:r>
                    </w:p>
                  </w:txbxContent>
                </v:textbox>
              </v:shape>
            </w:pict>
          </mc:Fallback>
        </mc:AlternateContent>
      </w:r>
      <w:r w:rsidR="00790F92" w:rsidRPr="00E07164">
        <w:rPr>
          <w:rFonts w:cstheme="minorHAnsi"/>
          <w:b/>
          <w:sz w:val="32"/>
          <w:szCs w:val="32"/>
        </w:rPr>
        <w:t xml:space="preserve">Guide technique de l’appel à projets </w:t>
      </w:r>
    </w:p>
    <w:p w:rsidR="00A83B1F" w:rsidRPr="00BB0436" w:rsidRDefault="00A83B1F" w:rsidP="00AC5AFD">
      <w:pPr>
        <w:pBdr>
          <w:bottom w:val="single" w:sz="4" w:space="1" w:color="auto"/>
        </w:pBdr>
        <w:spacing w:after="0" w:line="240" w:lineRule="auto"/>
        <w:jc w:val="right"/>
        <w:rPr>
          <w:rFonts w:cstheme="minorHAnsi"/>
          <w:b/>
          <w:sz w:val="28"/>
          <w:szCs w:val="28"/>
        </w:rPr>
      </w:pPr>
      <w:r w:rsidRPr="00BB0436">
        <w:rPr>
          <w:rFonts w:cstheme="minorHAnsi"/>
          <w:b/>
          <w:sz w:val="28"/>
          <w:szCs w:val="28"/>
        </w:rPr>
        <w:t>Développer l’Alternance pour favoriser</w:t>
      </w:r>
    </w:p>
    <w:p w:rsidR="00A83B1F" w:rsidRPr="00BB0436" w:rsidRDefault="00A83B1F" w:rsidP="00AC5AFD">
      <w:pPr>
        <w:pBdr>
          <w:bottom w:val="single" w:sz="4" w:space="1" w:color="auto"/>
        </w:pBdr>
        <w:spacing w:after="0" w:line="240" w:lineRule="auto"/>
        <w:jc w:val="right"/>
        <w:rPr>
          <w:rFonts w:cstheme="minorHAnsi"/>
          <w:b/>
          <w:sz w:val="28"/>
          <w:szCs w:val="28"/>
        </w:rPr>
      </w:pPr>
      <w:proofErr w:type="gramStart"/>
      <w:r w:rsidRPr="00BB0436">
        <w:rPr>
          <w:rFonts w:cstheme="minorHAnsi"/>
          <w:b/>
          <w:sz w:val="28"/>
          <w:szCs w:val="28"/>
        </w:rPr>
        <w:t>l’accès</w:t>
      </w:r>
      <w:proofErr w:type="gramEnd"/>
      <w:r w:rsidRPr="00BB0436">
        <w:rPr>
          <w:rFonts w:cstheme="minorHAnsi"/>
          <w:b/>
          <w:sz w:val="28"/>
          <w:szCs w:val="28"/>
        </w:rPr>
        <w:t xml:space="preserve"> à l’e</w:t>
      </w:r>
      <w:r w:rsidR="00B40D0A">
        <w:rPr>
          <w:rFonts w:cstheme="minorHAnsi"/>
          <w:b/>
          <w:sz w:val="28"/>
          <w:szCs w:val="28"/>
        </w:rPr>
        <w:t>mploi et à la qualification</w:t>
      </w:r>
      <w:r w:rsidR="00611E73">
        <w:rPr>
          <w:rFonts w:cstheme="minorHAnsi"/>
          <w:b/>
          <w:sz w:val="28"/>
          <w:szCs w:val="28"/>
        </w:rPr>
        <w:t xml:space="preserve"> (Avenant</w:t>
      </w:r>
      <w:r w:rsidR="00B40D0A">
        <w:rPr>
          <w:rFonts w:cstheme="minorHAnsi"/>
          <w:b/>
          <w:sz w:val="28"/>
          <w:szCs w:val="28"/>
        </w:rPr>
        <w:t xml:space="preserve"> 2015</w:t>
      </w:r>
      <w:r w:rsidR="00123EEF">
        <w:rPr>
          <w:rFonts w:cstheme="minorHAnsi"/>
          <w:b/>
          <w:sz w:val="28"/>
          <w:szCs w:val="28"/>
        </w:rPr>
        <w:t xml:space="preserve"> à l’appel à projets 2013</w:t>
      </w:r>
      <w:r w:rsidR="00611E73">
        <w:rPr>
          <w:rFonts w:cstheme="minorHAnsi"/>
          <w:b/>
          <w:sz w:val="28"/>
          <w:szCs w:val="28"/>
        </w:rPr>
        <w:t>)</w:t>
      </w:r>
    </w:p>
    <w:p w:rsidR="000D473D" w:rsidRPr="00E07164" w:rsidRDefault="000D473D"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sz w:val="20"/>
          <w:szCs w:val="20"/>
        </w:rPr>
      </w:pPr>
      <w:r w:rsidRPr="00E07164">
        <w:rPr>
          <w:rFonts w:cstheme="minorHAnsi"/>
          <w:b/>
          <w:sz w:val="20"/>
          <w:szCs w:val="20"/>
        </w:rPr>
        <w:t>Maquette</w:t>
      </w:r>
      <w:r w:rsidR="002F4868" w:rsidRPr="00E07164">
        <w:rPr>
          <w:rFonts w:cstheme="minorHAnsi"/>
          <w:b/>
          <w:sz w:val="20"/>
          <w:szCs w:val="20"/>
        </w:rPr>
        <w:t xml:space="preserve"> : </w:t>
      </w:r>
      <w:r w:rsidR="00B40D0A">
        <w:rPr>
          <w:rFonts w:cstheme="minorHAnsi"/>
          <w:b/>
          <w:sz w:val="20"/>
          <w:szCs w:val="20"/>
        </w:rPr>
        <w:t>5</w:t>
      </w:r>
      <w:r w:rsidR="00D86197">
        <w:rPr>
          <w:rFonts w:cstheme="minorHAnsi"/>
          <w:b/>
          <w:sz w:val="20"/>
          <w:szCs w:val="20"/>
        </w:rPr>
        <w:t xml:space="preserve"> </w:t>
      </w:r>
      <w:r w:rsidR="007D445C" w:rsidRPr="00E07164">
        <w:rPr>
          <w:rFonts w:cstheme="minorHAnsi"/>
          <w:b/>
          <w:sz w:val="20"/>
          <w:szCs w:val="20"/>
        </w:rPr>
        <w:t>M€</w:t>
      </w:r>
      <w:r w:rsidR="00405394">
        <w:rPr>
          <w:rFonts w:cstheme="minorHAnsi"/>
          <w:b/>
          <w:sz w:val="20"/>
          <w:szCs w:val="20"/>
        </w:rPr>
        <w:t xml:space="preserve"> </w:t>
      </w:r>
    </w:p>
    <w:p w:rsidR="00EE5057" w:rsidRPr="005265FF" w:rsidRDefault="00EE5057"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sz w:val="20"/>
          <w:szCs w:val="20"/>
        </w:rPr>
      </w:pPr>
      <w:r w:rsidRPr="005265FF">
        <w:rPr>
          <w:rFonts w:cstheme="minorHAnsi"/>
          <w:b/>
          <w:sz w:val="20"/>
          <w:szCs w:val="20"/>
        </w:rPr>
        <w:t>Dépôt (</w:t>
      </w:r>
      <w:r w:rsidR="005265FF">
        <w:rPr>
          <w:rFonts w:cstheme="minorHAnsi"/>
          <w:b/>
          <w:sz w:val="20"/>
          <w:szCs w:val="20"/>
        </w:rPr>
        <w:t>voir AAP</w:t>
      </w:r>
      <w:r w:rsidRPr="005265FF">
        <w:rPr>
          <w:rFonts w:cstheme="minorHAnsi"/>
          <w:b/>
          <w:sz w:val="20"/>
          <w:szCs w:val="20"/>
        </w:rPr>
        <w:t>)</w:t>
      </w:r>
      <w:r w:rsidR="002E7960" w:rsidRPr="005265FF">
        <w:rPr>
          <w:rFonts w:cstheme="minorHAnsi"/>
          <w:b/>
          <w:sz w:val="20"/>
          <w:szCs w:val="20"/>
        </w:rPr>
        <w:t xml:space="preserve"> : </w:t>
      </w:r>
      <w:r w:rsidR="00B40D0A">
        <w:rPr>
          <w:rFonts w:cstheme="minorHAnsi"/>
          <w:b/>
          <w:sz w:val="20"/>
          <w:szCs w:val="20"/>
        </w:rPr>
        <w:t>15/04/2015</w:t>
      </w:r>
    </w:p>
    <w:p w:rsidR="00AC7ED5" w:rsidRPr="00E07164" w:rsidRDefault="00A83B1F"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sz w:val="20"/>
          <w:szCs w:val="20"/>
        </w:rPr>
      </w:pPr>
      <w:r>
        <w:rPr>
          <w:rFonts w:cstheme="minorHAnsi"/>
          <w:b/>
          <w:sz w:val="20"/>
          <w:szCs w:val="20"/>
        </w:rPr>
        <w:t>Période de référence</w:t>
      </w:r>
      <w:r w:rsidR="00AC7ED5" w:rsidRPr="00E07164">
        <w:rPr>
          <w:rFonts w:cstheme="minorHAnsi"/>
          <w:b/>
          <w:sz w:val="20"/>
          <w:szCs w:val="20"/>
        </w:rPr>
        <w:t> </w:t>
      </w:r>
      <w:r w:rsidR="00286F4B">
        <w:rPr>
          <w:rFonts w:cstheme="minorHAnsi"/>
          <w:b/>
          <w:sz w:val="20"/>
          <w:szCs w:val="20"/>
        </w:rPr>
        <w:t xml:space="preserve">(signature des contrats des Développeurs de l’Alternance) </w:t>
      </w:r>
      <w:r w:rsidR="00AC7ED5" w:rsidRPr="00E07164">
        <w:rPr>
          <w:rFonts w:cstheme="minorHAnsi"/>
          <w:b/>
          <w:sz w:val="20"/>
          <w:szCs w:val="20"/>
        </w:rPr>
        <w:t>:</w:t>
      </w:r>
      <w:r w:rsidR="001F3543">
        <w:rPr>
          <w:rFonts w:cstheme="minorHAnsi"/>
          <w:b/>
          <w:sz w:val="20"/>
          <w:szCs w:val="20"/>
        </w:rPr>
        <w:t xml:space="preserve"> </w:t>
      </w:r>
      <w:r w:rsidR="004728D9" w:rsidRPr="00E07164">
        <w:rPr>
          <w:rFonts w:cstheme="minorHAnsi"/>
          <w:b/>
          <w:sz w:val="20"/>
          <w:szCs w:val="20"/>
        </w:rPr>
        <w:t>01/01/</w:t>
      </w:r>
      <w:r w:rsidR="00557218">
        <w:rPr>
          <w:rFonts w:cstheme="minorHAnsi"/>
          <w:b/>
          <w:sz w:val="20"/>
          <w:szCs w:val="20"/>
        </w:rPr>
        <w:t>2015</w:t>
      </w:r>
      <w:r w:rsidR="00AC7ED5" w:rsidRPr="00E07164">
        <w:rPr>
          <w:rFonts w:cstheme="minorHAnsi"/>
          <w:b/>
          <w:sz w:val="20"/>
          <w:szCs w:val="20"/>
        </w:rPr>
        <w:t xml:space="preserve"> au 31</w:t>
      </w:r>
      <w:r w:rsidR="004728D9" w:rsidRPr="00E07164">
        <w:rPr>
          <w:rFonts w:cstheme="minorHAnsi"/>
          <w:b/>
          <w:sz w:val="20"/>
          <w:szCs w:val="20"/>
        </w:rPr>
        <w:t>/12/</w:t>
      </w:r>
      <w:r w:rsidR="00557218">
        <w:rPr>
          <w:rFonts w:cstheme="minorHAnsi"/>
          <w:b/>
          <w:sz w:val="20"/>
          <w:szCs w:val="20"/>
        </w:rPr>
        <w:t>2015</w:t>
      </w:r>
    </w:p>
    <w:p w:rsidR="002F4868" w:rsidRPr="00E07164" w:rsidRDefault="008C53E3" w:rsidP="004258B1">
      <w:pPr>
        <w:pBdr>
          <w:top w:val="single" w:sz="4" w:space="1" w:color="auto"/>
          <w:left w:val="single" w:sz="4" w:space="4" w:color="auto"/>
          <w:bottom w:val="single" w:sz="4" w:space="1" w:color="auto"/>
          <w:right w:val="single" w:sz="4" w:space="4" w:color="auto"/>
        </w:pBdr>
        <w:spacing w:before="120" w:after="0" w:line="240" w:lineRule="auto"/>
        <w:jc w:val="both"/>
        <w:rPr>
          <w:rFonts w:cstheme="minorHAnsi"/>
          <w:b/>
          <w:sz w:val="20"/>
          <w:szCs w:val="20"/>
        </w:rPr>
      </w:pPr>
      <w:r w:rsidRPr="00E07164">
        <w:rPr>
          <w:rFonts w:cstheme="minorHAnsi"/>
          <w:b/>
          <w:sz w:val="20"/>
          <w:szCs w:val="20"/>
        </w:rPr>
        <w:t>Période d’éligibilité des dépenses</w:t>
      </w:r>
      <w:r w:rsidR="00AC7ED5" w:rsidRPr="00E07164">
        <w:rPr>
          <w:rFonts w:cstheme="minorHAnsi"/>
          <w:b/>
          <w:sz w:val="20"/>
          <w:szCs w:val="20"/>
        </w:rPr>
        <w:t xml:space="preserve"> : </w:t>
      </w:r>
      <w:r w:rsidR="004728D9" w:rsidRPr="00E07164">
        <w:rPr>
          <w:rFonts w:cstheme="minorHAnsi"/>
          <w:b/>
          <w:sz w:val="20"/>
          <w:szCs w:val="20"/>
        </w:rPr>
        <w:t>0</w:t>
      </w:r>
      <w:r w:rsidR="002F4868" w:rsidRPr="00E07164">
        <w:rPr>
          <w:rFonts w:cstheme="minorHAnsi"/>
          <w:b/>
          <w:sz w:val="20"/>
          <w:szCs w:val="20"/>
        </w:rPr>
        <w:t>1</w:t>
      </w:r>
      <w:r w:rsidR="004728D9" w:rsidRPr="00E07164">
        <w:rPr>
          <w:rFonts w:cstheme="minorHAnsi"/>
          <w:b/>
          <w:sz w:val="20"/>
          <w:szCs w:val="20"/>
        </w:rPr>
        <w:t>/01/</w:t>
      </w:r>
      <w:r w:rsidR="00123EEF">
        <w:rPr>
          <w:rFonts w:cstheme="minorHAnsi"/>
          <w:b/>
          <w:sz w:val="20"/>
          <w:szCs w:val="20"/>
        </w:rPr>
        <w:t>2015</w:t>
      </w:r>
      <w:r w:rsidR="002F4868" w:rsidRPr="00E07164">
        <w:rPr>
          <w:rFonts w:cstheme="minorHAnsi"/>
          <w:b/>
          <w:sz w:val="20"/>
          <w:szCs w:val="20"/>
        </w:rPr>
        <w:t xml:space="preserve"> au 31</w:t>
      </w:r>
      <w:r w:rsidR="004728D9" w:rsidRPr="00E07164">
        <w:rPr>
          <w:rFonts w:cstheme="minorHAnsi"/>
          <w:b/>
          <w:sz w:val="20"/>
          <w:szCs w:val="20"/>
        </w:rPr>
        <w:t>/</w:t>
      </w:r>
      <w:r w:rsidR="00187783" w:rsidRPr="00E07164">
        <w:rPr>
          <w:rFonts w:cstheme="minorHAnsi"/>
          <w:b/>
          <w:sz w:val="20"/>
          <w:szCs w:val="20"/>
        </w:rPr>
        <w:t>12/2015</w:t>
      </w:r>
    </w:p>
    <w:p w:rsidR="000D473D" w:rsidRDefault="000D473D" w:rsidP="00EF7BDA">
      <w:pPr>
        <w:spacing w:after="0" w:line="240" w:lineRule="auto"/>
        <w:jc w:val="both"/>
        <w:rPr>
          <w:rFonts w:cstheme="minorHAnsi"/>
          <w:sz w:val="20"/>
          <w:szCs w:val="20"/>
        </w:rPr>
      </w:pPr>
    </w:p>
    <w:p w:rsidR="00384F38" w:rsidRDefault="00384F38" w:rsidP="00EF7BDA">
      <w:pPr>
        <w:spacing w:after="0" w:line="240" w:lineRule="auto"/>
        <w:jc w:val="both"/>
        <w:rPr>
          <w:rFonts w:cstheme="minorHAnsi"/>
          <w:sz w:val="20"/>
          <w:szCs w:val="20"/>
        </w:rPr>
      </w:pPr>
    </w:p>
    <w:p w:rsidR="000D473D" w:rsidRPr="00E07164" w:rsidRDefault="007A0A4B" w:rsidP="00EF7BDA">
      <w:pPr>
        <w:spacing w:after="0" w:line="240" w:lineRule="auto"/>
        <w:jc w:val="both"/>
        <w:rPr>
          <w:rFonts w:cstheme="minorHAnsi"/>
          <w:b/>
          <w:color w:val="0070C0"/>
          <w:sz w:val="28"/>
          <w:szCs w:val="28"/>
        </w:rPr>
      </w:pPr>
      <w:r>
        <w:rPr>
          <w:rFonts w:cstheme="minorHAnsi"/>
          <w:b/>
          <w:color w:val="0070C0"/>
          <w:sz w:val="28"/>
          <w:szCs w:val="28"/>
        </w:rPr>
        <w:t>Organismes</w:t>
      </w:r>
      <w:r w:rsidR="006441FA" w:rsidRPr="00E07164">
        <w:rPr>
          <w:rFonts w:cstheme="minorHAnsi"/>
          <w:b/>
          <w:color w:val="0070C0"/>
          <w:sz w:val="28"/>
          <w:szCs w:val="28"/>
        </w:rPr>
        <w:t xml:space="preserve"> concernés</w:t>
      </w:r>
    </w:p>
    <w:p w:rsidR="007A0A4B" w:rsidRDefault="007A0A4B" w:rsidP="00A83B1F">
      <w:pPr>
        <w:spacing w:after="0" w:line="240" w:lineRule="auto"/>
        <w:jc w:val="both"/>
        <w:rPr>
          <w:rFonts w:cstheme="minorHAnsi"/>
          <w:sz w:val="20"/>
          <w:szCs w:val="20"/>
        </w:rPr>
      </w:pPr>
      <w:r>
        <w:rPr>
          <w:rFonts w:cstheme="minorHAnsi"/>
          <w:sz w:val="20"/>
          <w:szCs w:val="20"/>
        </w:rPr>
        <w:t xml:space="preserve">Sont visés dans cet appel à projets les OPCA dans leur rôle de financeur des formations réalisées dans le cadre de l’Alternance. </w:t>
      </w:r>
    </w:p>
    <w:p w:rsidR="007A0A4B" w:rsidRDefault="007A0A4B" w:rsidP="00A83B1F">
      <w:pPr>
        <w:spacing w:after="0" w:line="240" w:lineRule="auto"/>
        <w:jc w:val="both"/>
        <w:rPr>
          <w:rFonts w:cstheme="minorHAnsi"/>
          <w:sz w:val="20"/>
          <w:szCs w:val="20"/>
        </w:rPr>
      </w:pPr>
      <w:r>
        <w:rPr>
          <w:rFonts w:cstheme="minorHAnsi"/>
          <w:sz w:val="20"/>
          <w:szCs w:val="20"/>
        </w:rPr>
        <w:t>Les cibles finales sont les salariés jeunes et adultes embauchés dans le cadre d’un contrat en alternance, notamment le contrat de professionnalisation.</w:t>
      </w:r>
    </w:p>
    <w:p w:rsidR="007A0A4B" w:rsidRDefault="007A0A4B" w:rsidP="00A83B1F">
      <w:pPr>
        <w:spacing w:after="0" w:line="240" w:lineRule="auto"/>
        <w:jc w:val="both"/>
        <w:rPr>
          <w:rFonts w:cstheme="minorHAnsi"/>
          <w:sz w:val="20"/>
          <w:szCs w:val="20"/>
        </w:rPr>
      </w:pPr>
    </w:p>
    <w:p w:rsidR="00384F38" w:rsidRDefault="00384F38" w:rsidP="00A83B1F">
      <w:pPr>
        <w:spacing w:after="0" w:line="240" w:lineRule="auto"/>
        <w:jc w:val="both"/>
        <w:rPr>
          <w:rFonts w:cstheme="minorHAnsi"/>
          <w:sz w:val="20"/>
          <w:szCs w:val="20"/>
        </w:rPr>
      </w:pPr>
    </w:p>
    <w:p w:rsidR="000D473D" w:rsidRPr="00E07164" w:rsidRDefault="000D473D" w:rsidP="00EF7BDA">
      <w:pPr>
        <w:spacing w:after="0" w:line="240" w:lineRule="auto"/>
        <w:jc w:val="both"/>
        <w:rPr>
          <w:rFonts w:cstheme="minorHAnsi"/>
          <w:b/>
          <w:color w:val="0070C0"/>
          <w:sz w:val="28"/>
          <w:szCs w:val="28"/>
        </w:rPr>
      </w:pPr>
      <w:r w:rsidRPr="00E07164">
        <w:rPr>
          <w:rFonts w:cstheme="minorHAnsi"/>
          <w:b/>
          <w:color w:val="0070C0"/>
          <w:sz w:val="28"/>
          <w:szCs w:val="28"/>
        </w:rPr>
        <w:t>Modalités d’intervention financières</w:t>
      </w:r>
      <w:r w:rsidR="00432DE0" w:rsidRPr="00E07164">
        <w:rPr>
          <w:rFonts w:cstheme="minorHAnsi"/>
          <w:b/>
          <w:color w:val="0070C0"/>
          <w:sz w:val="28"/>
          <w:szCs w:val="28"/>
        </w:rPr>
        <w:t xml:space="preserve"> du FPSPP</w:t>
      </w:r>
    </w:p>
    <w:p w:rsidR="007A0A4B" w:rsidRDefault="007A0A4B" w:rsidP="007A0A4B">
      <w:pPr>
        <w:spacing w:after="0" w:line="240" w:lineRule="auto"/>
        <w:jc w:val="both"/>
        <w:rPr>
          <w:rFonts w:cstheme="minorHAnsi"/>
          <w:sz w:val="20"/>
          <w:szCs w:val="20"/>
        </w:rPr>
      </w:pPr>
      <w:r w:rsidRPr="00A83B1F">
        <w:rPr>
          <w:rFonts w:cstheme="minorHAnsi"/>
          <w:sz w:val="20"/>
          <w:szCs w:val="20"/>
        </w:rPr>
        <w:t xml:space="preserve">Le FPSPP intervient </w:t>
      </w:r>
      <w:r w:rsidR="00C61BFD">
        <w:rPr>
          <w:rFonts w:cstheme="minorHAnsi"/>
          <w:sz w:val="20"/>
          <w:szCs w:val="20"/>
        </w:rPr>
        <w:t xml:space="preserve">depuis 2013 </w:t>
      </w:r>
      <w:r w:rsidRPr="00A83B1F">
        <w:rPr>
          <w:rFonts w:cstheme="minorHAnsi"/>
          <w:sz w:val="20"/>
          <w:szCs w:val="20"/>
        </w:rPr>
        <w:t>sur le principe d’un cofinan</w:t>
      </w:r>
      <w:r>
        <w:rPr>
          <w:rFonts w:cstheme="minorHAnsi"/>
          <w:sz w:val="20"/>
          <w:szCs w:val="20"/>
        </w:rPr>
        <w:t xml:space="preserve">cement de moyens humains, en accompagnement d’une </w:t>
      </w:r>
      <w:r w:rsidRPr="007A0A4B">
        <w:rPr>
          <w:rFonts w:cstheme="minorHAnsi"/>
          <w:sz w:val="20"/>
          <w:szCs w:val="20"/>
        </w:rPr>
        <w:t>politique développée par</w:t>
      </w:r>
      <w:r w:rsidRPr="00A83B1F">
        <w:rPr>
          <w:rFonts w:cstheme="minorHAnsi"/>
          <w:sz w:val="20"/>
          <w:szCs w:val="20"/>
        </w:rPr>
        <w:t xml:space="preserve"> la</w:t>
      </w:r>
      <w:r>
        <w:rPr>
          <w:rFonts w:cstheme="minorHAnsi"/>
          <w:sz w:val="20"/>
          <w:szCs w:val="20"/>
        </w:rPr>
        <w:t xml:space="preserve"> (les)</w:t>
      </w:r>
      <w:r w:rsidRPr="00A83B1F">
        <w:rPr>
          <w:rFonts w:cstheme="minorHAnsi"/>
          <w:sz w:val="20"/>
          <w:szCs w:val="20"/>
        </w:rPr>
        <w:t xml:space="preserve"> branche</w:t>
      </w:r>
      <w:r>
        <w:rPr>
          <w:rFonts w:cstheme="minorHAnsi"/>
          <w:sz w:val="20"/>
          <w:szCs w:val="20"/>
        </w:rPr>
        <w:t>(s)</w:t>
      </w:r>
      <w:r w:rsidRPr="00A83B1F">
        <w:rPr>
          <w:rFonts w:cstheme="minorHAnsi"/>
          <w:sz w:val="20"/>
          <w:szCs w:val="20"/>
        </w:rPr>
        <w:t xml:space="preserve"> et par l’OPCA</w:t>
      </w:r>
      <w:r>
        <w:rPr>
          <w:rFonts w:cstheme="minorHAnsi"/>
          <w:sz w:val="20"/>
          <w:szCs w:val="20"/>
        </w:rPr>
        <w:t xml:space="preserve"> en matière d</w:t>
      </w:r>
      <w:r w:rsidRPr="00A83B1F">
        <w:rPr>
          <w:rFonts w:cstheme="minorHAnsi"/>
          <w:sz w:val="20"/>
          <w:szCs w:val="20"/>
        </w:rPr>
        <w:t>’Alternance.</w:t>
      </w:r>
      <w:r>
        <w:rPr>
          <w:rFonts w:cstheme="minorHAnsi"/>
          <w:sz w:val="20"/>
          <w:szCs w:val="20"/>
        </w:rPr>
        <w:t xml:space="preserve"> </w:t>
      </w:r>
      <w:r w:rsidR="00C61BFD">
        <w:rPr>
          <w:rFonts w:cstheme="minorHAnsi"/>
          <w:sz w:val="20"/>
          <w:szCs w:val="20"/>
        </w:rPr>
        <w:t xml:space="preserve">Son objectif est </w:t>
      </w:r>
      <w:r>
        <w:rPr>
          <w:rFonts w:cstheme="minorHAnsi"/>
          <w:sz w:val="20"/>
          <w:szCs w:val="20"/>
        </w:rPr>
        <w:t xml:space="preserve">viser l’augmentation de la quantité et l’amélioration de la qualité de l’Alternance. </w:t>
      </w:r>
      <w:r w:rsidR="006D18E6">
        <w:rPr>
          <w:rFonts w:cstheme="minorHAnsi"/>
          <w:sz w:val="20"/>
          <w:szCs w:val="20"/>
        </w:rPr>
        <w:t xml:space="preserve">Sa mise en œuvre à travers un plan d’actions </w:t>
      </w:r>
      <w:r w:rsidR="006D18E6" w:rsidRPr="00121210">
        <w:rPr>
          <w:rFonts w:cstheme="minorHAnsi"/>
          <w:sz w:val="20"/>
          <w:szCs w:val="20"/>
        </w:rPr>
        <w:t xml:space="preserve">sur 3 </w:t>
      </w:r>
      <w:r w:rsidR="00121210" w:rsidRPr="00121210">
        <w:rPr>
          <w:rFonts w:cstheme="minorHAnsi"/>
          <w:sz w:val="20"/>
          <w:szCs w:val="20"/>
        </w:rPr>
        <w:t>ans</w:t>
      </w:r>
      <w:r w:rsidR="00121210">
        <w:rPr>
          <w:rFonts w:cstheme="minorHAnsi"/>
          <w:sz w:val="20"/>
          <w:szCs w:val="20"/>
        </w:rPr>
        <w:t xml:space="preserve"> </w:t>
      </w:r>
      <w:r w:rsidR="00C61BFD">
        <w:rPr>
          <w:rFonts w:cstheme="minorHAnsi"/>
          <w:sz w:val="20"/>
          <w:szCs w:val="20"/>
        </w:rPr>
        <w:t>(2013-2015) est</w:t>
      </w:r>
      <w:r w:rsidR="00121210">
        <w:rPr>
          <w:rFonts w:cstheme="minorHAnsi"/>
          <w:sz w:val="20"/>
          <w:szCs w:val="20"/>
        </w:rPr>
        <w:t xml:space="preserve"> expliquée dans le volet technique de la</w:t>
      </w:r>
      <w:r w:rsidR="006D18E6">
        <w:rPr>
          <w:rFonts w:cstheme="minorHAnsi"/>
          <w:sz w:val="20"/>
          <w:szCs w:val="20"/>
        </w:rPr>
        <w:t xml:space="preserve"> demande d’aide financière (diagnostic, objectifs, moyens et indicateurs</w:t>
      </w:r>
      <w:r w:rsidR="00121210">
        <w:rPr>
          <w:rFonts w:cstheme="minorHAnsi"/>
          <w:sz w:val="20"/>
          <w:szCs w:val="20"/>
        </w:rPr>
        <w:t xml:space="preserve">) et dans le volet financier en termes de coûts réellement supportés par l’OPCA et de coûts </w:t>
      </w:r>
      <w:r w:rsidR="00C61BFD">
        <w:rPr>
          <w:rFonts w:cstheme="minorHAnsi"/>
          <w:sz w:val="20"/>
          <w:szCs w:val="20"/>
        </w:rPr>
        <w:t>pris en charge par le FPSPP</w:t>
      </w:r>
      <w:r w:rsidR="00121210">
        <w:rPr>
          <w:rFonts w:cstheme="minorHAnsi"/>
          <w:sz w:val="20"/>
          <w:szCs w:val="20"/>
        </w:rPr>
        <w:t>.</w:t>
      </w:r>
    </w:p>
    <w:p w:rsidR="007A0A4B" w:rsidRDefault="007A0A4B" w:rsidP="007B38C0">
      <w:pPr>
        <w:spacing w:after="0" w:line="240" w:lineRule="auto"/>
        <w:jc w:val="both"/>
        <w:rPr>
          <w:rFonts w:cstheme="minorHAnsi"/>
          <w:sz w:val="20"/>
          <w:szCs w:val="20"/>
        </w:rPr>
      </w:pPr>
    </w:p>
    <w:p w:rsidR="007B38C0" w:rsidRPr="007B38C0" w:rsidRDefault="006D18E6" w:rsidP="007B38C0">
      <w:pPr>
        <w:spacing w:after="0" w:line="240" w:lineRule="auto"/>
        <w:jc w:val="both"/>
        <w:rPr>
          <w:rFonts w:cstheme="minorHAnsi"/>
          <w:sz w:val="20"/>
          <w:szCs w:val="20"/>
        </w:rPr>
      </w:pPr>
      <w:r>
        <w:rPr>
          <w:rFonts w:cstheme="minorHAnsi"/>
          <w:sz w:val="20"/>
          <w:szCs w:val="20"/>
        </w:rPr>
        <w:t>Bien que le plan d’actions global décrive l’</w:t>
      </w:r>
      <w:r w:rsidRPr="00121210">
        <w:rPr>
          <w:rFonts w:cstheme="minorHAnsi"/>
          <w:sz w:val="20"/>
          <w:szCs w:val="20"/>
          <w:u w:val="single"/>
        </w:rPr>
        <w:t>ensemble des moyens de l’OPCA sur 3 ans</w:t>
      </w:r>
      <w:r>
        <w:rPr>
          <w:rFonts w:cstheme="minorHAnsi"/>
          <w:sz w:val="20"/>
          <w:szCs w:val="20"/>
        </w:rPr>
        <w:t>, l</w:t>
      </w:r>
      <w:r w:rsidR="007B38C0" w:rsidRPr="007B38C0">
        <w:rPr>
          <w:rFonts w:cstheme="minorHAnsi"/>
          <w:sz w:val="20"/>
          <w:szCs w:val="20"/>
        </w:rPr>
        <w:t>e FPSPP interviendra sur les dépenses suivantes :</w:t>
      </w:r>
    </w:p>
    <w:p w:rsidR="007B38C0" w:rsidRDefault="007B38C0" w:rsidP="00CD6763">
      <w:pPr>
        <w:spacing w:after="0" w:line="240" w:lineRule="auto"/>
        <w:jc w:val="both"/>
        <w:rPr>
          <w:rFonts w:cstheme="minorHAnsi"/>
          <w:sz w:val="20"/>
          <w:szCs w:val="20"/>
        </w:rPr>
      </w:pPr>
      <w:r w:rsidRPr="007B38C0">
        <w:rPr>
          <w:rFonts w:cstheme="minorHAnsi"/>
          <w:sz w:val="20"/>
          <w:szCs w:val="20"/>
        </w:rPr>
        <w:t>1‐ La rémunération du personnel chargé du dévelo</w:t>
      </w:r>
      <w:r w:rsidR="00CD6763">
        <w:rPr>
          <w:rFonts w:cstheme="minorHAnsi"/>
          <w:sz w:val="20"/>
          <w:szCs w:val="20"/>
        </w:rPr>
        <w:t xml:space="preserve">ppement de l’Alternance </w:t>
      </w:r>
      <w:r w:rsidR="00384F38">
        <w:rPr>
          <w:rFonts w:cstheme="minorHAnsi"/>
          <w:sz w:val="20"/>
          <w:szCs w:val="20"/>
        </w:rPr>
        <w:t xml:space="preserve">(« Développeur ») </w:t>
      </w:r>
      <w:r w:rsidR="00CD6763">
        <w:rPr>
          <w:rFonts w:cstheme="minorHAnsi"/>
          <w:sz w:val="20"/>
          <w:szCs w:val="20"/>
        </w:rPr>
        <w:t xml:space="preserve">dans sa </w:t>
      </w:r>
      <w:r w:rsidRPr="007B38C0">
        <w:rPr>
          <w:rFonts w:cstheme="minorHAnsi"/>
          <w:sz w:val="20"/>
          <w:szCs w:val="20"/>
        </w:rPr>
        <w:t xml:space="preserve">mission de </w:t>
      </w:r>
      <w:r w:rsidRPr="006D18E6">
        <w:rPr>
          <w:rFonts w:cstheme="minorHAnsi"/>
          <w:sz w:val="20"/>
          <w:szCs w:val="20"/>
        </w:rPr>
        <w:t>promotion des contrats en alternance</w:t>
      </w:r>
      <w:r w:rsidR="006D18E6">
        <w:rPr>
          <w:rFonts w:cstheme="minorHAnsi"/>
          <w:sz w:val="20"/>
          <w:szCs w:val="20"/>
        </w:rPr>
        <w:t xml:space="preserve">, notamment des contrats de professionnalisation, </w:t>
      </w:r>
      <w:r w:rsidRPr="006D18E6">
        <w:rPr>
          <w:rFonts w:cstheme="minorHAnsi"/>
          <w:sz w:val="20"/>
          <w:szCs w:val="20"/>
        </w:rPr>
        <w:t>au</w:t>
      </w:r>
      <w:r w:rsidR="00CD6763" w:rsidRPr="006D18E6">
        <w:rPr>
          <w:rFonts w:cstheme="minorHAnsi"/>
          <w:sz w:val="20"/>
          <w:szCs w:val="20"/>
        </w:rPr>
        <w:t xml:space="preserve">près des </w:t>
      </w:r>
      <w:r w:rsidR="00CD6763">
        <w:rPr>
          <w:rFonts w:cstheme="minorHAnsi"/>
          <w:sz w:val="20"/>
          <w:szCs w:val="20"/>
        </w:rPr>
        <w:t xml:space="preserve">entreprises adhérentes </w:t>
      </w:r>
      <w:r w:rsidRPr="007B38C0">
        <w:rPr>
          <w:rFonts w:cstheme="minorHAnsi"/>
          <w:sz w:val="20"/>
          <w:szCs w:val="20"/>
        </w:rPr>
        <w:t xml:space="preserve">des OPCA, </w:t>
      </w:r>
      <w:r w:rsidR="006D18E6">
        <w:rPr>
          <w:rFonts w:cstheme="minorHAnsi"/>
          <w:sz w:val="20"/>
          <w:szCs w:val="20"/>
        </w:rPr>
        <w:t>en particulier d</w:t>
      </w:r>
      <w:r w:rsidRPr="007B38C0">
        <w:rPr>
          <w:rFonts w:cstheme="minorHAnsi"/>
          <w:sz w:val="20"/>
          <w:szCs w:val="20"/>
        </w:rPr>
        <w:t xml:space="preserve">es TPE </w:t>
      </w:r>
      <w:r w:rsidR="006D18E6">
        <w:rPr>
          <w:rFonts w:cstheme="minorHAnsi"/>
          <w:sz w:val="20"/>
          <w:szCs w:val="20"/>
        </w:rPr>
        <w:t xml:space="preserve">(- de 10 salariés) </w:t>
      </w:r>
      <w:r w:rsidRPr="007B38C0">
        <w:rPr>
          <w:rFonts w:cstheme="minorHAnsi"/>
          <w:sz w:val="20"/>
          <w:szCs w:val="20"/>
        </w:rPr>
        <w:t xml:space="preserve">et PME </w:t>
      </w:r>
      <w:r w:rsidR="006D18E6">
        <w:rPr>
          <w:rFonts w:cstheme="minorHAnsi"/>
          <w:sz w:val="20"/>
          <w:szCs w:val="20"/>
        </w:rPr>
        <w:t xml:space="preserve">(de 10 à 250 salariés) </w:t>
      </w:r>
      <w:r w:rsidR="00CD6763">
        <w:rPr>
          <w:rFonts w:cstheme="minorHAnsi"/>
          <w:sz w:val="20"/>
          <w:szCs w:val="20"/>
        </w:rPr>
        <w:t>à hauteur de 3</w:t>
      </w:r>
      <w:r w:rsidR="006D18E6">
        <w:rPr>
          <w:rFonts w:cstheme="minorHAnsi"/>
          <w:sz w:val="20"/>
          <w:szCs w:val="20"/>
        </w:rPr>
        <w:t xml:space="preserve"> </w:t>
      </w:r>
      <w:r w:rsidR="00CD6763">
        <w:rPr>
          <w:rFonts w:cstheme="minorHAnsi"/>
          <w:sz w:val="20"/>
          <w:szCs w:val="20"/>
        </w:rPr>
        <w:t xml:space="preserve">600 </w:t>
      </w:r>
      <w:r w:rsidR="00141409">
        <w:rPr>
          <w:rFonts w:cstheme="minorHAnsi"/>
          <w:sz w:val="20"/>
          <w:szCs w:val="20"/>
        </w:rPr>
        <w:t>€ par mois travaillé et par ETP ;</w:t>
      </w:r>
    </w:p>
    <w:p w:rsidR="009678F2" w:rsidRPr="0023431A" w:rsidRDefault="009678F2" w:rsidP="00CD6763">
      <w:pPr>
        <w:spacing w:after="0" w:line="240" w:lineRule="auto"/>
        <w:jc w:val="both"/>
        <w:rPr>
          <w:rFonts w:cstheme="minorHAnsi"/>
          <w:sz w:val="20"/>
          <w:szCs w:val="20"/>
        </w:rPr>
      </w:pPr>
      <w:r w:rsidRPr="0023431A">
        <w:rPr>
          <w:rFonts w:cstheme="minorHAnsi"/>
          <w:b/>
          <w:sz w:val="20"/>
          <w:szCs w:val="20"/>
        </w:rPr>
        <w:t>FOCUS</w:t>
      </w:r>
      <w:r w:rsidRPr="0023431A">
        <w:rPr>
          <w:rFonts w:cstheme="minorHAnsi"/>
          <w:sz w:val="20"/>
          <w:szCs w:val="20"/>
        </w:rPr>
        <w:t> : l’effectif des entreprises est établi s</w:t>
      </w:r>
      <w:r w:rsidR="008D6F6D" w:rsidRPr="0023431A">
        <w:rPr>
          <w:rFonts w:cstheme="minorHAnsi"/>
          <w:sz w:val="20"/>
          <w:szCs w:val="20"/>
        </w:rPr>
        <w:t>ur le nombre d’ETP au 31/12/N-1.</w:t>
      </w:r>
    </w:p>
    <w:p w:rsidR="001727DB" w:rsidRDefault="001727DB" w:rsidP="00CD6763">
      <w:pPr>
        <w:spacing w:after="0" w:line="240" w:lineRule="auto"/>
        <w:jc w:val="both"/>
        <w:rPr>
          <w:rFonts w:cstheme="minorHAnsi"/>
          <w:sz w:val="20"/>
          <w:szCs w:val="20"/>
        </w:rPr>
      </w:pPr>
    </w:p>
    <w:p w:rsidR="00E07164" w:rsidRDefault="007B38C0" w:rsidP="00CD6763">
      <w:pPr>
        <w:spacing w:after="0" w:line="240" w:lineRule="auto"/>
        <w:jc w:val="both"/>
        <w:rPr>
          <w:rFonts w:cstheme="minorHAnsi"/>
          <w:sz w:val="20"/>
          <w:szCs w:val="20"/>
        </w:rPr>
      </w:pPr>
      <w:r w:rsidRPr="007B38C0">
        <w:rPr>
          <w:rFonts w:cstheme="minorHAnsi"/>
          <w:sz w:val="20"/>
          <w:szCs w:val="20"/>
        </w:rPr>
        <w:t>2‐ Les frais pédagogiques liés au plan de formation à des</w:t>
      </w:r>
      <w:r w:rsidR="00CD6763">
        <w:rPr>
          <w:rFonts w:cstheme="minorHAnsi"/>
          <w:sz w:val="20"/>
          <w:szCs w:val="20"/>
        </w:rPr>
        <w:t xml:space="preserve">tination du </w:t>
      </w:r>
      <w:r w:rsidR="00384F38">
        <w:rPr>
          <w:rFonts w:cstheme="minorHAnsi"/>
          <w:sz w:val="20"/>
          <w:szCs w:val="20"/>
        </w:rPr>
        <w:t>Développeur</w:t>
      </w:r>
      <w:r w:rsidR="00CD6763" w:rsidRPr="00CD6763">
        <w:t xml:space="preserve"> </w:t>
      </w:r>
      <w:r w:rsidR="00CD6763">
        <w:rPr>
          <w:rFonts w:cstheme="minorHAnsi"/>
          <w:sz w:val="20"/>
          <w:szCs w:val="20"/>
        </w:rPr>
        <w:t xml:space="preserve">(au coût réel et dans </w:t>
      </w:r>
      <w:r w:rsidR="00CD6763" w:rsidRPr="00CD6763">
        <w:rPr>
          <w:rFonts w:cstheme="minorHAnsi"/>
          <w:sz w:val="20"/>
          <w:szCs w:val="20"/>
        </w:rPr>
        <w:t xml:space="preserve">la limite de 15€/heure et d'une durée </w:t>
      </w:r>
      <w:r w:rsidR="00141409">
        <w:rPr>
          <w:rFonts w:cstheme="minorHAnsi"/>
          <w:sz w:val="20"/>
          <w:szCs w:val="20"/>
        </w:rPr>
        <w:t xml:space="preserve">maximum </w:t>
      </w:r>
      <w:r w:rsidR="00CD6763" w:rsidRPr="00CD6763">
        <w:rPr>
          <w:rFonts w:cstheme="minorHAnsi"/>
          <w:sz w:val="20"/>
          <w:szCs w:val="20"/>
        </w:rPr>
        <w:t xml:space="preserve">de 40 </w:t>
      </w:r>
      <w:r w:rsidR="00CD6763" w:rsidRPr="0023431A">
        <w:rPr>
          <w:rFonts w:cstheme="minorHAnsi"/>
          <w:sz w:val="20"/>
          <w:szCs w:val="20"/>
        </w:rPr>
        <w:t>heures</w:t>
      </w:r>
      <w:r w:rsidR="0064749F" w:rsidRPr="0023431A">
        <w:rPr>
          <w:rFonts w:cstheme="minorHAnsi"/>
          <w:sz w:val="20"/>
          <w:szCs w:val="20"/>
        </w:rPr>
        <w:t xml:space="preserve"> qu’il s’agisse de formation externe et interne</w:t>
      </w:r>
      <w:r w:rsidR="00CD6763" w:rsidRPr="0023431A">
        <w:rPr>
          <w:rFonts w:cstheme="minorHAnsi"/>
          <w:sz w:val="20"/>
          <w:szCs w:val="20"/>
        </w:rPr>
        <w:t>)</w:t>
      </w:r>
      <w:r w:rsidR="00141409" w:rsidRPr="0023431A">
        <w:rPr>
          <w:rFonts w:cstheme="minorHAnsi"/>
          <w:sz w:val="20"/>
          <w:szCs w:val="20"/>
        </w:rPr>
        <w:t>.</w:t>
      </w:r>
    </w:p>
    <w:p w:rsidR="007B38C0" w:rsidRDefault="007B38C0" w:rsidP="007B38C0">
      <w:pPr>
        <w:spacing w:after="0" w:line="240" w:lineRule="auto"/>
        <w:jc w:val="both"/>
        <w:rPr>
          <w:rFonts w:cstheme="minorHAnsi"/>
          <w:sz w:val="20"/>
          <w:szCs w:val="20"/>
        </w:rPr>
      </w:pPr>
    </w:p>
    <w:p w:rsidR="00384F38" w:rsidRDefault="00384F38" w:rsidP="007B38C0">
      <w:pPr>
        <w:spacing w:after="0" w:line="240" w:lineRule="auto"/>
        <w:jc w:val="both"/>
        <w:rPr>
          <w:rFonts w:cstheme="minorHAnsi"/>
          <w:sz w:val="20"/>
          <w:szCs w:val="20"/>
        </w:rPr>
      </w:pPr>
    </w:p>
    <w:p w:rsidR="00357925" w:rsidRPr="00E07164" w:rsidRDefault="00247975" w:rsidP="00EF7BDA">
      <w:pPr>
        <w:spacing w:after="0" w:line="240" w:lineRule="auto"/>
        <w:jc w:val="both"/>
        <w:rPr>
          <w:rFonts w:cstheme="minorHAnsi"/>
          <w:b/>
          <w:color w:val="0070C0"/>
          <w:sz w:val="28"/>
          <w:szCs w:val="28"/>
        </w:rPr>
      </w:pPr>
      <w:r w:rsidRPr="00E07164">
        <w:rPr>
          <w:rFonts w:cstheme="minorHAnsi"/>
          <w:b/>
          <w:color w:val="0070C0"/>
          <w:sz w:val="28"/>
          <w:szCs w:val="28"/>
        </w:rPr>
        <w:t>Modalités de suivi</w:t>
      </w:r>
    </w:p>
    <w:p w:rsidR="005B0336" w:rsidRDefault="00A31714" w:rsidP="00EF7BDA">
      <w:pPr>
        <w:spacing w:after="0" w:line="240" w:lineRule="auto"/>
        <w:jc w:val="both"/>
        <w:rPr>
          <w:rFonts w:cstheme="minorHAnsi"/>
          <w:sz w:val="20"/>
          <w:szCs w:val="20"/>
        </w:rPr>
      </w:pPr>
      <w:r w:rsidRPr="00E07164">
        <w:rPr>
          <w:rFonts w:cstheme="minorHAnsi"/>
          <w:sz w:val="20"/>
          <w:szCs w:val="20"/>
        </w:rPr>
        <w:t xml:space="preserve">En vue de piloter l’annexe financière de la Convention cadre, </w:t>
      </w:r>
      <w:r w:rsidR="0023431A">
        <w:rPr>
          <w:rFonts w:cstheme="minorHAnsi"/>
          <w:sz w:val="20"/>
          <w:szCs w:val="20"/>
        </w:rPr>
        <w:t xml:space="preserve">voici les </w:t>
      </w:r>
      <w:r w:rsidR="00247975" w:rsidRPr="00E07164">
        <w:rPr>
          <w:rFonts w:cstheme="minorHAnsi"/>
          <w:sz w:val="20"/>
          <w:szCs w:val="20"/>
        </w:rPr>
        <w:t>modalité</w:t>
      </w:r>
      <w:r w:rsidR="0023431A">
        <w:rPr>
          <w:rFonts w:cstheme="minorHAnsi"/>
          <w:sz w:val="20"/>
          <w:szCs w:val="20"/>
        </w:rPr>
        <w:t>s</w:t>
      </w:r>
      <w:r w:rsidR="00247975" w:rsidRPr="00E07164">
        <w:rPr>
          <w:rFonts w:cstheme="minorHAnsi"/>
          <w:sz w:val="20"/>
          <w:szCs w:val="20"/>
        </w:rPr>
        <w:t xml:space="preserve"> de suivi retenue</w:t>
      </w:r>
      <w:r w:rsidR="0023431A">
        <w:rPr>
          <w:rFonts w:cstheme="minorHAnsi"/>
          <w:sz w:val="20"/>
          <w:szCs w:val="20"/>
        </w:rPr>
        <w:t>s</w:t>
      </w:r>
      <w:r w:rsidR="00247975" w:rsidRPr="00E07164">
        <w:rPr>
          <w:rFonts w:cstheme="minorHAnsi"/>
          <w:sz w:val="20"/>
          <w:szCs w:val="20"/>
        </w:rPr>
        <w:t xml:space="preserve"> par les partenaires sociaux </w:t>
      </w:r>
      <w:r w:rsidR="00B54335">
        <w:rPr>
          <w:rFonts w:cstheme="minorHAnsi"/>
          <w:sz w:val="20"/>
          <w:szCs w:val="20"/>
        </w:rPr>
        <w:t>pour cet appel à projets se déroulant sur 3 ans</w:t>
      </w:r>
      <w:r w:rsidR="003C6B57">
        <w:rPr>
          <w:rFonts w:cstheme="minorHAnsi"/>
          <w:sz w:val="20"/>
          <w:szCs w:val="20"/>
        </w:rPr>
        <w:t>.</w:t>
      </w:r>
    </w:p>
    <w:p w:rsidR="0023431A" w:rsidRDefault="0023431A" w:rsidP="003C6B57">
      <w:pPr>
        <w:spacing w:after="0" w:line="240" w:lineRule="auto"/>
        <w:jc w:val="both"/>
        <w:rPr>
          <w:rFonts w:cstheme="minorHAnsi"/>
          <w:sz w:val="20"/>
          <w:szCs w:val="20"/>
        </w:rPr>
      </w:pPr>
    </w:p>
    <w:p w:rsidR="008A2CFA" w:rsidRPr="003C6B57" w:rsidRDefault="009C2E5D" w:rsidP="003C6B57">
      <w:pPr>
        <w:spacing w:after="0" w:line="240" w:lineRule="auto"/>
        <w:jc w:val="both"/>
        <w:rPr>
          <w:rFonts w:cstheme="minorHAnsi"/>
          <w:sz w:val="20"/>
          <w:szCs w:val="20"/>
        </w:rPr>
      </w:pPr>
      <w:r w:rsidRPr="003C6B57">
        <w:rPr>
          <w:rFonts w:cstheme="minorHAnsi"/>
          <w:sz w:val="20"/>
          <w:szCs w:val="20"/>
        </w:rPr>
        <w:t>L’</w:t>
      </w:r>
      <w:r w:rsidR="008A2CFA" w:rsidRPr="003C6B57">
        <w:rPr>
          <w:rFonts w:cstheme="minorHAnsi"/>
          <w:sz w:val="20"/>
          <w:szCs w:val="20"/>
        </w:rPr>
        <w:t>e</w:t>
      </w:r>
      <w:r w:rsidR="005B0336" w:rsidRPr="003C6B57">
        <w:rPr>
          <w:rFonts w:cstheme="minorHAnsi"/>
          <w:sz w:val="20"/>
          <w:szCs w:val="20"/>
        </w:rPr>
        <w:t xml:space="preserve">nquête annuelle </w:t>
      </w:r>
      <w:r w:rsidR="00380D43" w:rsidRPr="003C6B57">
        <w:rPr>
          <w:rFonts w:cstheme="minorHAnsi"/>
          <w:sz w:val="20"/>
          <w:szCs w:val="20"/>
        </w:rPr>
        <w:t>au moment du bilan</w:t>
      </w:r>
      <w:r w:rsidR="008A2CFA" w:rsidRPr="003C6B57">
        <w:rPr>
          <w:rFonts w:cstheme="minorHAnsi"/>
          <w:sz w:val="20"/>
          <w:szCs w:val="20"/>
        </w:rPr>
        <w:t> </w:t>
      </w:r>
      <w:r w:rsidR="00B54335" w:rsidRPr="003C6B57">
        <w:rPr>
          <w:rFonts w:cstheme="minorHAnsi"/>
          <w:sz w:val="20"/>
          <w:szCs w:val="20"/>
        </w:rPr>
        <w:t xml:space="preserve">d’exécution </w:t>
      </w:r>
      <w:r w:rsidRPr="003C6B57">
        <w:rPr>
          <w:rFonts w:cstheme="minorHAnsi"/>
          <w:sz w:val="20"/>
          <w:szCs w:val="20"/>
        </w:rPr>
        <w:t>comprendra</w:t>
      </w:r>
      <w:r w:rsidR="003C6B57">
        <w:rPr>
          <w:rFonts w:cstheme="minorHAnsi"/>
          <w:sz w:val="20"/>
          <w:szCs w:val="20"/>
        </w:rPr>
        <w:t xml:space="preserve"> 2 volets</w:t>
      </w:r>
      <w:r w:rsidRPr="003C6B57">
        <w:rPr>
          <w:rFonts w:cstheme="minorHAnsi"/>
          <w:sz w:val="20"/>
          <w:szCs w:val="20"/>
        </w:rPr>
        <w:t> :</w:t>
      </w:r>
    </w:p>
    <w:p w:rsidR="009C2E5D" w:rsidRDefault="009C2E5D" w:rsidP="009C2E5D">
      <w:pPr>
        <w:pStyle w:val="Paragraphedeliste"/>
        <w:numPr>
          <w:ilvl w:val="1"/>
          <w:numId w:val="4"/>
        </w:numPr>
        <w:spacing w:after="0" w:line="240" w:lineRule="auto"/>
        <w:jc w:val="both"/>
        <w:rPr>
          <w:rFonts w:cstheme="minorHAnsi"/>
          <w:sz w:val="20"/>
          <w:szCs w:val="20"/>
        </w:rPr>
      </w:pPr>
      <w:r>
        <w:rPr>
          <w:rFonts w:cstheme="minorHAnsi"/>
          <w:sz w:val="20"/>
          <w:szCs w:val="20"/>
        </w:rPr>
        <w:t xml:space="preserve">Un suivi des contrats des Développeurs : date d’embauche, </w:t>
      </w:r>
      <w:r w:rsidR="00471F10">
        <w:rPr>
          <w:rFonts w:cstheme="minorHAnsi"/>
          <w:sz w:val="20"/>
          <w:szCs w:val="20"/>
        </w:rPr>
        <w:t xml:space="preserve">type de contrat, </w:t>
      </w:r>
      <w:r w:rsidR="001727DB">
        <w:rPr>
          <w:rFonts w:cstheme="minorHAnsi"/>
          <w:sz w:val="20"/>
          <w:szCs w:val="20"/>
        </w:rPr>
        <w:t xml:space="preserve">nombre de mois travaillés, </w:t>
      </w:r>
      <w:r w:rsidR="00AC5AFD">
        <w:rPr>
          <w:rFonts w:cstheme="minorHAnsi"/>
          <w:sz w:val="20"/>
          <w:szCs w:val="20"/>
        </w:rPr>
        <w:t xml:space="preserve">salaire annuel chargé, </w:t>
      </w:r>
      <w:r>
        <w:rPr>
          <w:rFonts w:cstheme="minorHAnsi"/>
          <w:sz w:val="20"/>
          <w:szCs w:val="20"/>
        </w:rPr>
        <w:t>coût et n</w:t>
      </w:r>
      <w:r w:rsidR="00164739">
        <w:rPr>
          <w:rFonts w:cstheme="minorHAnsi"/>
          <w:sz w:val="20"/>
          <w:szCs w:val="20"/>
        </w:rPr>
        <w:t>ombre d’heures de la formation.</w:t>
      </w:r>
    </w:p>
    <w:p w:rsidR="00C22400" w:rsidRPr="00B54335" w:rsidRDefault="00C22400" w:rsidP="00C22400">
      <w:pPr>
        <w:pStyle w:val="Paragraphedeliste"/>
        <w:spacing w:after="0" w:line="240" w:lineRule="auto"/>
        <w:ind w:left="1440"/>
        <w:jc w:val="both"/>
        <w:rPr>
          <w:rFonts w:cstheme="minorHAnsi"/>
          <w:sz w:val="20"/>
          <w:szCs w:val="20"/>
        </w:rPr>
      </w:pPr>
    </w:p>
    <w:p w:rsidR="00AC5AFD" w:rsidRDefault="009C2E5D" w:rsidP="00C22400">
      <w:pPr>
        <w:pStyle w:val="Paragraphedeliste"/>
        <w:numPr>
          <w:ilvl w:val="1"/>
          <w:numId w:val="4"/>
        </w:numPr>
        <w:spacing w:after="0" w:line="240" w:lineRule="auto"/>
        <w:jc w:val="both"/>
        <w:rPr>
          <w:rFonts w:cstheme="minorHAnsi"/>
          <w:sz w:val="20"/>
          <w:szCs w:val="20"/>
        </w:rPr>
      </w:pPr>
      <w:r w:rsidRPr="00AC5AFD">
        <w:rPr>
          <w:rFonts w:cstheme="minorHAnsi"/>
          <w:sz w:val="20"/>
          <w:szCs w:val="20"/>
        </w:rPr>
        <w:t xml:space="preserve">Un suivi des </w:t>
      </w:r>
      <w:r w:rsidR="00110A87">
        <w:rPr>
          <w:rFonts w:cstheme="minorHAnsi"/>
          <w:sz w:val="20"/>
          <w:szCs w:val="20"/>
        </w:rPr>
        <w:t>indicateurs suivants</w:t>
      </w:r>
      <w:r w:rsidR="00C22400">
        <w:rPr>
          <w:rFonts w:cstheme="minorHAnsi"/>
          <w:sz w:val="20"/>
          <w:szCs w:val="20"/>
        </w:rPr>
        <w:t xml:space="preserve"> </w:t>
      </w:r>
      <w:r w:rsidR="00110A87">
        <w:rPr>
          <w:rFonts w:cstheme="minorHAnsi"/>
          <w:sz w:val="20"/>
          <w:szCs w:val="20"/>
        </w:rPr>
        <w:t>:</w:t>
      </w:r>
    </w:p>
    <w:p w:rsidR="009D0A50" w:rsidRPr="009D0A50" w:rsidRDefault="009D0A50" w:rsidP="009D0A50">
      <w:pPr>
        <w:spacing w:after="0" w:line="240" w:lineRule="auto"/>
        <w:jc w:val="both"/>
        <w:rPr>
          <w:rFonts w:cstheme="minorHAnsi"/>
          <w:sz w:val="20"/>
          <w:szCs w:val="20"/>
        </w:rPr>
      </w:pPr>
      <w:r w:rsidRPr="009D0A50">
        <w:rPr>
          <w:rFonts w:cstheme="minorHAnsi"/>
          <w:sz w:val="20"/>
          <w:szCs w:val="20"/>
        </w:rPr>
        <w:t>Obligatoires :</w:t>
      </w:r>
    </w:p>
    <w:p w:rsidR="009E6E31" w:rsidRDefault="00517036" w:rsidP="00AC5AFD">
      <w:pPr>
        <w:spacing w:after="0" w:line="240" w:lineRule="auto"/>
        <w:jc w:val="both"/>
        <w:rPr>
          <w:rFonts w:cstheme="minorHAnsi"/>
          <w:sz w:val="20"/>
          <w:szCs w:val="20"/>
        </w:rPr>
      </w:pPr>
      <w:r w:rsidRPr="00AC5AFD">
        <w:rPr>
          <w:rFonts w:cstheme="minorHAnsi"/>
          <w:sz w:val="20"/>
          <w:szCs w:val="20"/>
        </w:rPr>
        <w:t>-</w:t>
      </w:r>
      <w:r w:rsidR="009E6E31">
        <w:rPr>
          <w:rFonts w:cstheme="minorHAnsi"/>
          <w:sz w:val="20"/>
          <w:szCs w:val="20"/>
        </w:rPr>
        <w:t xml:space="preserve">le nombre de contrat de professionnalisation dans le but de l’augmenter ; </w:t>
      </w:r>
    </w:p>
    <w:p w:rsidR="009E6E31" w:rsidRDefault="009E6E31" w:rsidP="00AC5AFD">
      <w:pPr>
        <w:spacing w:after="0" w:line="240" w:lineRule="auto"/>
        <w:jc w:val="both"/>
        <w:rPr>
          <w:rFonts w:cstheme="minorHAnsi"/>
          <w:sz w:val="20"/>
          <w:szCs w:val="20"/>
        </w:rPr>
      </w:pPr>
      <w:r>
        <w:rPr>
          <w:rFonts w:cstheme="minorHAnsi"/>
          <w:sz w:val="20"/>
          <w:szCs w:val="20"/>
        </w:rPr>
        <w:t>-le taux d’accès à l’emploi à 6 mois dans le but de l’augmenter</w:t>
      </w:r>
      <w:r w:rsidR="009D0A50">
        <w:rPr>
          <w:rFonts w:cstheme="minorHAnsi"/>
          <w:sz w:val="20"/>
          <w:szCs w:val="20"/>
        </w:rPr>
        <w:t>.</w:t>
      </w:r>
    </w:p>
    <w:p w:rsidR="009D0A50" w:rsidRDefault="009D0A50" w:rsidP="00AC5AFD">
      <w:pPr>
        <w:spacing w:after="0" w:line="240" w:lineRule="auto"/>
        <w:jc w:val="both"/>
        <w:rPr>
          <w:rFonts w:cstheme="minorHAnsi"/>
          <w:sz w:val="20"/>
          <w:szCs w:val="20"/>
        </w:rPr>
      </w:pPr>
    </w:p>
    <w:p w:rsidR="009D0A50" w:rsidRDefault="009D0A50" w:rsidP="00AC5AFD">
      <w:pPr>
        <w:spacing w:after="0" w:line="240" w:lineRule="auto"/>
        <w:jc w:val="both"/>
        <w:rPr>
          <w:rFonts w:cstheme="minorHAnsi"/>
          <w:sz w:val="20"/>
          <w:szCs w:val="20"/>
        </w:rPr>
      </w:pPr>
      <w:r>
        <w:rPr>
          <w:rFonts w:cstheme="minorHAnsi"/>
          <w:sz w:val="20"/>
          <w:szCs w:val="20"/>
        </w:rPr>
        <w:t>Complémentaires :</w:t>
      </w:r>
    </w:p>
    <w:p w:rsidR="0002673B" w:rsidRPr="00AC5AFD" w:rsidRDefault="009E6E31" w:rsidP="00AC5AFD">
      <w:pPr>
        <w:spacing w:after="0" w:line="240" w:lineRule="auto"/>
        <w:jc w:val="both"/>
        <w:rPr>
          <w:rFonts w:cstheme="minorHAnsi"/>
          <w:sz w:val="20"/>
          <w:szCs w:val="20"/>
        </w:rPr>
      </w:pPr>
      <w:r>
        <w:rPr>
          <w:rFonts w:cstheme="minorHAnsi"/>
          <w:sz w:val="20"/>
          <w:szCs w:val="20"/>
        </w:rPr>
        <w:t>-l</w:t>
      </w:r>
      <w:r w:rsidR="0002673B" w:rsidRPr="00AC5AFD">
        <w:rPr>
          <w:rFonts w:cstheme="minorHAnsi"/>
          <w:sz w:val="20"/>
          <w:szCs w:val="20"/>
        </w:rPr>
        <w:t xml:space="preserve">e taux de réussite </w:t>
      </w:r>
      <w:r>
        <w:rPr>
          <w:rFonts w:cstheme="minorHAnsi"/>
          <w:sz w:val="20"/>
          <w:szCs w:val="20"/>
        </w:rPr>
        <w:t>aux</w:t>
      </w:r>
      <w:r w:rsidR="0002673B" w:rsidRPr="00AC5AFD">
        <w:rPr>
          <w:rFonts w:cstheme="minorHAnsi"/>
          <w:sz w:val="20"/>
          <w:szCs w:val="20"/>
        </w:rPr>
        <w:t xml:space="preserve"> formations </w:t>
      </w:r>
      <w:proofErr w:type="spellStart"/>
      <w:r w:rsidR="0002673B" w:rsidRPr="00AC5AFD">
        <w:rPr>
          <w:rFonts w:cstheme="minorHAnsi"/>
          <w:sz w:val="20"/>
          <w:szCs w:val="20"/>
        </w:rPr>
        <w:t>certifiantes</w:t>
      </w:r>
      <w:proofErr w:type="spellEnd"/>
      <w:r w:rsidR="0002673B" w:rsidRPr="00AC5AFD">
        <w:rPr>
          <w:rFonts w:cstheme="minorHAnsi"/>
          <w:sz w:val="20"/>
          <w:szCs w:val="20"/>
        </w:rPr>
        <w:t xml:space="preserve"> (RNCP, CQP)</w:t>
      </w:r>
      <w:r w:rsidR="007D3141" w:rsidRPr="00AC5AFD">
        <w:rPr>
          <w:rFonts w:cstheme="minorHAnsi"/>
          <w:sz w:val="20"/>
          <w:szCs w:val="20"/>
        </w:rPr>
        <w:t> </w:t>
      </w:r>
      <w:r>
        <w:rPr>
          <w:rFonts w:cstheme="minorHAnsi"/>
          <w:sz w:val="20"/>
          <w:szCs w:val="20"/>
        </w:rPr>
        <w:t xml:space="preserve">dans le but de l’augmenter </w:t>
      </w:r>
      <w:r w:rsidR="007D3141" w:rsidRPr="00AC5AFD">
        <w:rPr>
          <w:rFonts w:cstheme="minorHAnsi"/>
          <w:sz w:val="20"/>
          <w:szCs w:val="20"/>
        </w:rPr>
        <w:t>;</w:t>
      </w:r>
      <w:r>
        <w:rPr>
          <w:rFonts w:cstheme="minorHAnsi"/>
          <w:sz w:val="20"/>
          <w:szCs w:val="20"/>
        </w:rPr>
        <w:t xml:space="preserve"> </w:t>
      </w:r>
    </w:p>
    <w:p w:rsidR="009D0A50" w:rsidRPr="00AC5AFD" w:rsidRDefault="009E6E31" w:rsidP="009D0A50">
      <w:pPr>
        <w:spacing w:after="0" w:line="240" w:lineRule="auto"/>
        <w:jc w:val="both"/>
        <w:rPr>
          <w:rFonts w:cstheme="minorHAnsi"/>
          <w:sz w:val="20"/>
          <w:szCs w:val="20"/>
        </w:rPr>
      </w:pPr>
      <w:r>
        <w:rPr>
          <w:rFonts w:cstheme="minorHAnsi"/>
          <w:sz w:val="20"/>
          <w:szCs w:val="20"/>
        </w:rPr>
        <w:t>‐l</w:t>
      </w:r>
      <w:r w:rsidR="0002673B" w:rsidRPr="0002673B">
        <w:rPr>
          <w:rFonts w:cstheme="minorHAnsi"/>
          <w:sz w:val="20"/>
          <w:szCs w:val="20"/>
        </w:rPr>
        <w:t xml:space="preserve">e </w:t>
      </w:r>
      <w:r w:rsidR="0002673B" w:rsidRPr="00C22400">
        <w:rPr>
          <w:rFonts w:cstheme="minorHAnsi"/>
          <w:sz w:val="20"/>
          <w:szCs w:val="20"/>
        </w:rPr>
        <w:t>nombre de formations de tuteurs</w:t>
      </w:r>
      <w:r w:rsidR="007D3141" w:rsidRPr="00C22400">
        <w:rPr>
          <w:rFonts w:cstheme="minorHAnsi"/>
          <w:sz w:val="20"/>
          <w:szCs w:val="20"/>
        </w:rPr>
        <w:t> </w:t>
      </w:r>
      <w:r w:rsidR="009D0A50">
        <w:rPr>
          <w:rFonts w:cstheme="minorHAnsi"/>
          <w:sz w:val="20"/>
          <w:szCs w:val="20"/>
        </w:rPr>
        <w:t xml:space="preserve">dans le but de l’augmenter </w:t>
      </w:r>
      <w:r w:rsidR="007D3141" w:rsidRPr="00C22400">
        <w:rPr>
          <w:rFonts w:cstheme="minorHAnsi"/>
          <w:sz w:val="20"/>
          <w:szCs w:val="20"/>
        </w:rPr>
        <w:t>;</w:t>
      </w:r>
      <w:r w:rsidR="009D0A50">
        <w:rPr>
          <w:rFonts w:cstheme="minorHAnsi"/>
          <w:sz w:val="20"/>
          <w:szCs w:val="20"/>
        </w:rPr>
        <w:t xml:space="preserve"> </w:t>
      </w:r>
    </w:p>
    <w:p w:rsidR="0002673B" w:rsidRPr="00C22400" w:rsidRDefault="007D3141" w:rsidP="0002673B">
      <w:pPr>
        <w:spacing w:after="0" w:line="240" w:lineRule="auto"/>
        <w:jc w:val="both"/>
        <w:rPr>
          <w:rFonts w:cstheme="minorHAnsi"/>
          <w:sz w:val="20"/>
          <w:szCs w:val="20"/>
        </w:rPr>
      </w:pPr>
      <w:r w:rsidRPr="00C22400">
        <w:rPr>
          <w:rFonts w:cstheme="minorHAnsi"/>
          <w:sz w:val="20"/>
          <w:szCs w:val="20"/>
        </w:rPr>
        <w:t>-</w:t>
      </w:r>
      <w:r w:rsidR="009D0A50">
        <w:rPr>
          <w:rFonts w:cstheme="minorHAnsi"/>
          <w:sz w:val="20"/>
          <w:szCs w:val="20"/>
        </w:rPr>
        <w:t>l</w:t>
      </w:r>
      <w:r w:rsidR="0002673B" w:rsidRPr="00C22400">
        <w:rPr>
          <w:rFonts w:cstheme="minorHAnsi"/>
          <w:sz w:val="20"/>
          <w:szCs w:val="20"/>
        </w:rPr>
        <w:t>e taux d</w:t>
      </w:r>
      <w:r w:rsidR="009D0A50">
        <w:rPr>
          <w:rFonts w:cstheme="minorHAnsi"/>
          <w:sz w:val="20"/>
          <w:szCs w:val="20"/>
        </w:rPr>
        <w:t xml:space="preserve">e rupture, en début de parcours dans le but de le réduire. </w:t>
      </w:r>
    </w:p>
    <w:p w:rsidR="000F7EEF" w:rsidRPr="00C22400" w:rsidRDefault="000F7EEF" w:rsidP="0002673B">
      <w:pPr>
        <w:spacing w:after="0" w:line="240" w:lineRule="auto"/>
        <w:jc w:val="both"/>
        <w:rPr>
          <w:rFonts w:cstheme="minorHAnsi"/>
          <w:sz w:val="20"/>
          <w:szCs w:val="20"/>
        </w:rPr>
      </w:pPr>
      <w:r w:rsidRPr="00C22400">
        <w:rPr>
          <w:rFonts w:cstheme="minorHAnsi"/>
          <w:b/>
          <w:sz w:val="20"/>
          <w:szCs w:val="20"/>
        </w:rPr>
        <w:lastRenderedPageBreak/>
        <w:t>FOCUS</w:t>
      </w:r>
      <w:r w:rsidRPr="00C22400">
        <w:rPr>
          <w:rFonts w:cstheme="minorHAnsi"/>
          <w:sz w:val="20"/>
          <w:szCs w:val="20"/>
        </w:rPr>
        <w:t> : la notion de début de parcours est basée sur la pratique de l’OPCA donc celle-ci est à préciser. Elle correspond en général au premier tiers de la formation.</w:t>
      </w:r>
    </w:p>
    <w:p w:rsidR="00110A87" w:rsidRDefault="00110A87" w:rsidP="00110A87">
      <w:pPr>
        <w:spacing w:after="0" w:line="240" w:lineRule="auto"/>
        <w:jc w:val="both"/>
        <w:rPr>
          <w:rFonts w:cstheme="minorHAnsi"/>
          <w:sz w:val="20"/>
          <w:szCs w:val="20"/>
        </w:rPr>
      </w:pPr>
    </w:p>
    <w:p w:rsidR="00123EEF" w:rsidRPr="00164739" w:rsidRDefault="00123EEF" w:rsidP="00164739">
      <w:pPr>
        <w:spacing w:after="0" w:line="240" w:lineRule="auto"/>
        <w:jc w:val="both"/>
        <w:rPr>
          <w:rFonts w:cstheme="minorHAnsi"/>
          <w:sz w:val="20"/>
          <w:szCs w:val="20"/>
        </w:rPr>
      </w:pPr>
      <w:r w:rsidRPr="00164739">
        <w:rPr>
          <w:rFonts w:cstheme="minorHAnsi"/>
          <w:sz w:val="20"/>
          <w:szCs w:val="20"/>
        </w:rPr>
        <w:t>Le suivi qualitatif et quantitatif des actions menées dans le cadre de la convention cadre entre le FPSPP et l’État doit être renforcé. Dès lors, l’organisme bénéficiaire est tenu de renseigner tous les indicateurs de réalisation et de résultats requis à l’occasion des enquêtes du FPSPP et de la production des bilans. Ces données seront utilisées pour rendre compte des conditions d’exécution de la convention-cadre et en vue de son évaluation.</w:t>
      </w:r>
    </w:p>
    <w:p w:rsidR="00123EEF" w:rsidRPr="00164739" w:rsidRDefault="00123EEF" w:rsidP="00164739">
      <w:pPr>
        <w:spacing w:after="0" w:line="240" w:lineRule="auto"/>
        <w:jc w:val="both"/>
        <w:rPr>
          <w:rFonts w:cstheme="minorHAnsi"/>
          <w:sz w:val="20"/>
          <w:szCs w:val="20"/>
        </w:rPr>
      </w:pPr>
      <w:r w:rsidRPr="00164739">
        <w:rPr>
          <w:rFonts w:cstheme="minorHAnsi"/>
          <w:sz w:val="20"/>
          <w:szCs w:val="20"/>
        </w:rPr>
        <w:t>En outre, l’organisme bénéficiaire s’engage à mettre à la disposition du FPSPP tout document ou information de nature à permettre cette évaluation.</w:t>
      </w:r>
    </w:p>
    <w:p w:rsidR="00123EEF" w:rsidRPr="00164739" w:rsidRDefault="00123EEF" w:rsidP="00164739">
      <w:pPr>
        <w:spacing w:after="0" w:line="240" w:lineRule="auto"/>
        <w:jc w:val="both"/>
        <w:rPr>
          <w:rFonts w:cstheme="minorHAnsi"/>
          <w:sz w:val="20"/>
          <w:szCs w:val="20"/>
        </w:rPr>
      </w:pPr>
      <w:r w:rsidRPr="00164739">
        <w:rPr>
          <w:rFonts w:cstheme="minorHAnsi"/>
          <w:sz w:val="20"/>
          <w:szCs w:val="20"/>
        </w:rPr>
        <w:t>Après prise en compte des orientations définies en matière d’évaluation par le COPANEF, le FPSPP procède à l’évaluation de cette opération mise en œuvre en application de la Convention-cadre.</w:t>
      </w:r>
    </w:p>
    <w:p w:rsidR="00472678" w:rsidRDefault="00472678" w:rsidP="00EF7BDA">
      <w:pPr>
        <w:spacing w:after="0" w:line="240" w:lineRule="auto"/>
        <w:jc w:val="both"/>
        <w:rPr>
          <w:rFonts w:cstheme="minorHAnsi"/>
          <w:sz w:val="20"/>
          <w:szCs w:val="20"/>
        </w:rPr>
      </w:pPr>
    </w:p>
    <w:p w:rsidR="00277147" w:rsidRPr="00E06DF2" w:rsidRDefault="00277147" w:rsidP="00277147">
      <w:pPr>
        <w:spacing w:after="0" w:line="240" w:lineRule="auto"/>
        <w:jc w:val="both"/>
        <w:rPr>
          <w:rFonts w:cstheme="minorHAnsi"/>
          <w:sz w:val="20"/>
          <w:szCs w:val="20"/>
        </w:rPr>
      </w:pPr>
      <w:r w:rsidRPr="00E06DF2">
        <w:rPr>
          <w:rFonts w:cstheme="minorHAnsi"/>
          <w:sz w:val="20"/>
          <w:szCs w:val="20"/>
        </w:rPr>
        <w:t>Dans l’optique de valoriser (et de partager) tout ou partie des productions (innovantes) et</w:t>
      </w:r>
      <w:r>
        <w:rPr>
          <w:rFonts w:cstheme="minorHAnsi"/>
          <w:sz w:val="20"/>
          <w:szCs w:val="20"/>
        </w:rPr>
        <w:t xml:space="preserve"> </w:t>
      </w:r>
      <w:r w:rsidRPr="00E06DF2">
        <w:rPr>
          <w:rFonts w:cstheme="minorHAnsi"/>
          <w:sz w:val="20"/>
          <w:szCs w:val="20"/>
        </w:rPr>
        <w:t xml:space="preserve">des bonnes pratiques nées des cofinancements du </w:t>
      </w:r>
      <w:r>
        <w:rPr>
          <w:rFonts w:cstheme="minorHAnsi"/>
          <w:sz w:val="20"/>
          <w:szCs w:val="20"/>
        </w:rPr>
        <w:t xml:space="preserve">FPSPP, les OPCA seront tenus de </w:t>
      </w:r>
      <w:r w:rsidRPr="00E06DF2">
        <w:rPr>
          <w:rFonts w:cstheme="minorHAnsi"/>
          <w:sz w:val="20"/>
          <w:szCs w:val="20"/>
        </w:rPr>
        <w:t xml:space="preserve">communiquer sur </w:t>
      </w:r>
      <w:r>
        <w:rPr>
          <w:rFonts w:cstheme="minorHAnsi"/>
          <w:sz w:val="20"/>
          <w:szCs w:val="20"/>
        </w:rPr>
        <w:t xml:space="preserve">ces productions auprès du FPSPP, </w:t>
      </w:r>
      <w:r w:rsidRPr="00277147">
        <w:rPr>
          <w:rFonts w:cstheme="minorHAnsi"/>
          <w:sz w:val="20"/>
          <w:szCs w:val="20"/>
        </w:rPr>
        <w:t>portant par exemple sur :</w:t>
      </w:r>
      <w:r>
        <w:rPr>
          <w:rFonts w:cstheme="minorHAnsi"/>
          <w:sz w:val="20"/>
          <w:szCs w:val="20"/>
        </w:rPr>
        <w:t xml:space="preserve"> </w:t>
      </w:r>
    </w:p>
    <w:p w:rsidR="00277147" w:rsidRPr="007D3141" w:rsidRDefault="00277147" w:rsidP="00277147">
      <w:pPr>
        <w:spacing w:after="0" w:line="240" w:lineRule="auto"/>
        <w:jc w:val="both"/>
        <w:rPr>
          <w:rFonts w:cstheme="minorHAnsi"/>
          <w:sz w:val="20"/>
          <w:szCs w:val="20"/>
        </w:rPr>
      </w:pPr>
      <w:r>
        <w:rPr>
          <w:rFonts w:cstheme="minorHAnsi"/>
          <w:sz w:val="20"/>
          <w:szCs w:val="20"/>
        </w:rPr>
        <w:t xml:space="preserve">- </w:t>
      </w:r>
      <w:r w:rsidRPr="007D3141">
        <w:rPr>
          <w:rFonts w:cstheme="minorHAnsi"/>
          <w:sz w:val="20"/>
          <w:szCs w:val="20"/>
        </w:rPr>
        <w:t>La formalisation des processus (articulation formation/entreprise…),</w:t>
      </w:r>
    </w:p>
    <w:p w:rsidR="00277147" w:rsidRPr="007D3141" w:rsidRDefault="00277147" w:rsidP="00277147">
      <w:pPr>
        <w:spacing w:after="0" w:line="240" w:lineRule="auto"/>
        <w:rPr>
          <w:rFonts w:cstheme="minorHAnsi"/>
          <w:sz w:val="20"/>
          <w:szCs w:val="20"/>
        </w:rPr>
      </w:pPr>
      <w:r>
        <w:rPr>
          <w:rFonts w:cstheme="minorHAnsi"/>
          <w:sz w:val="20"/>
          <w:szCs w:val="20"/>
        </w:rPr>
        <w:t xml:space="preserve">- </w:t>
      </w:r>
      <w:r w:rsidRPr="007D3141">
        <w:rPr>
          <w:rFonts w:cstheme="minorHAnsi"/>
          <w:sz w:val="20"/>
          <w:szCs w:val="20"/>
        </w:rPr>
        <w:t>Les supports d’ingénierie pédagogique (formation de tuteurs, livret de</w:t>
      </w:r>
      <w:r>
        <w:rPr>
          <w:rFonts w:cstheme="minorHAnsi"/>
          <w:sz w:val="20"/>
          <w:szCs w:val="20"/>
        </w:rPr>
        <w:t xml:space="preserve"> </w:t>
      </w:r>
      <w:r w:rsidRPr="007D3141">
        <w:rPr>
          <w:rFonts w:cstheme="minorHAnsi"/>
          <w:sz w:val="20"/>
          <w:szCs w:val="20"/>
        </w:rPr>
        <w:t>suivi des bénéficiaires, charte qualité…)</w:t>
      </w:r>
    </w:p>
    <w:p w:rsidR="00277147" w:rsidRPr="007D3141" w:rsidRDefault="00277147" w:rsidP="00277147">
      <w:pPr>
        <w:spacing w:after="0" w:line="240" w:lineRule="auto"/>
        <w:rPr>
          <w:rFonts w:cstheme="minorHAnsi"/>
          <w:sz w:val="20"/>
          <w:szCs w:val="20"/>
        </w:rPr>
      </w:pPr>
      <w:r>
        <w:rPr>
          <w:rFonts w:cstheme="minorHAnsi"/>
          <w:sz w:val="20"/>
          <w:szCs w:val="20"/>
        </w:rPr>
        <w:t xml:space="preserve">- </w:t>
      </w:r>
      <w:r w:rsidRPr="007D3141">
        <w:rPr>
          <w:rFonts w:cstheme="minorHAnsi"/>
          <w:sz w:val="20"/>
          <w:szCs w:val="20"/>
        </w:rPr>
        <w:t>Les supports de communication en direction des entreprises et des</w:t>
      </w:r>
      <w:r>
        <w:rPr>
          <w:rFonts w:cstheme="minorHAnsi"/>
          <w:sz w:val="20"/>
          <w:szCs w:val="20"/>
        </w:rPr>
        <w:t xml:space="preserve"> </w:t>
      </w:r>
      <w:r w:rsidRPr="007D3141">
        <w:rPr>
          <w:rFonts w:cstheme="minorHAnsi"/>
          <w:sz w:val="20"/>
          <w:szCs w:val="20"/>
        </w:rPr>
        <w:t>bénéficiaires</w:t>
      </w:r>
    </w:p>
    <w:p w:rsidR="00277147" w:rsidRDefault="00277147" w:rsidP="00277147">
      <w:pPr>
        <w:spacing w:after="0" w:line="240" w:lineRule="auto"/>
        <w:rPr>
          <w:rFonts w:cstheme="minorHAnsi"/>
          <w:sz w:val="20"/>
          <w:szCs w:val="20"/>
        </w:rPr>
      </w:pPr>
      <w:r>
        <w:rPr>
          <w:rFonts w:cstheme="minorHAnsi"/>
          <w:sz w:val="20"/>
          <w:szCs w:val="20"/>
        </w:rPr>
        <w:t xml:space="preserve">- </w:t>
      </w:r>
      <w:r w:rsidRPr="007D3141">
        <w:rPr>
          <w:rFonts w:cstheme="minorHAnsi"/>
          <w:sz w:val="20"/>
          <w:szCs w:val="20"/>
        </w:rPr>
        <w:t>Les évaluations.</w:t>
      </w:r>
    </w:p>
    <w:p w:rsidR="00277147" w:rsidRDefault="00277147" w:rsidP="00277147">
      <w:pPr>
        <w:spacing w:after="0" w:line="240" w:lineRule="auto"/>
        <w:rPr>
          <w:rFonts w:cstheme="minorHAnsi"/>
          <w:sz w:val="20"/>
          <w:szCs w:val="20"/>
        </w:rPr>
      </w:pPr>
    </w:p>
    <w:p w:rsidR="00BB0E6D" w:rsidRPr="00164739" w:rsidRDefault="00BB0E6D" w:rsidP="00EF7BDA">
      <w:pPr>
        <w:spacing w:after="0" w:line="240" w:lineRule="auto"/>
        <w:jc w:val="both"/>
        <w:rPr>
          <w:rFonts w:cstheme="minorHAnsi"/>
          <w:sz w:val="20"/>
          <w:szCs w:val="20"/>
        </w:rPr>
      </w:pPr>
    </w:p>
    <w:p w:rsidR="00357925" w:rsidRPr="00E07164" w:rsidRDefault="00C30C12" w:rsidP="00EF7BDA">
      <w:pPr>
        <w:spacing w:after="0" w:line="240" w:lineRule="auto"/>
        <w:jc w:val="both"/>
        <w:rPr>
          <w:rFonts w:cstheme="minorHAnsi"/>
          <w:b/>
          <w:color w:val="0070C0"/>
          <w:sz w:val="28"/>
          <w:szCs w:val="28"/>
        </w:rPr>
      </w:pPr>
      <w:r w:rsidRPr="00E07164">
        <w:rPr>
          <w:rFonts w:cstheme="minorHAnsi"/>
          <w:b/>
          <w:color w:val="0070C0"/>
          <w:sz w:val="28"/>
          <w:szCs w:val="28"/>
        </w:rPr>
        <w:t>Bilan</w:t>
      </w:r>
      <w:r w:rsidR="00C65369" w:rsidRPr="00E07164">
        <w:rPr>
          <w:rFonts w:cstheme="minorHAnsi"/>
          <w:b/>
          <w:color w:val="0070C0"/>
          <w:sz w:val="28"/>
          <w:szCs w:val="28"/>
        </w:rPr>
        <w:t xml:space="preserve"> annuel</w:t>
      </w:r>
    </w:p>
    <w:p w:rsidR="009B2049" w:rsidRPr="00792050" w:rsidRDefault="00110A87" w:rsidP="00EF7BDA">
      <w:pPr>
        <w:spacing w:after="0" w:line="240" w:lineRule="auto"/>
        <w:jc w:val="both"/>
        <w:rPr>
          <w:rFonts w:cstheme="minorHAnsi"/>
          <w:sz w:val="20"/>
          <w:szCs w:val="20"/>
        </w:rPr>
      </w:pPr>
      <w:r w:rsidRPr="00792050">
        <w:rPr>
          <w:rFonts w:cstheme="minorHAnsi"/>
          <w:sz w:val="20"/>
          <w:szCs w:val="20"/>
        </w:rPr>
        <w:t xml:space="preserve">Le bilan qualitatif, quantitatif et financier devra lui aussi porter sur l’ensemble du plan d’actions </w:t>
      </w:r>
      <w:r w:rsidR="00164739">
        <w:rPr>
          <w:rFonts w:cstheme="minorHAnsi"/>
          <w:sz w:val="20"/>
          <w:szCs w:val="20"/>
        </w:rPr>
        <w:t xml:space="preserve">réalisé au regard de celui ayant été </w:t>
      </w:r>
      <w:r w:rsidRPr="00792050">
        <w:rPr>
          <w:rFonts w:cstheme="minorHAnsi"/>
          <w:sz w:val="20"/>
          <w:szCs w:val="20"/>
        </w:rPr>
        <w:t xml:space="preserve">conventionné. </w:t>
      </w:r>
      <w:r w:rsidR="00792050" w:rsidRPr="00792050">
        <w:rPr>
          <w:rFonts w:cstheme="minorHAnsi"/>
          <w:sz w:val="20"/>
          <w:szCs w:val="20"/>
        </w:rPr>
        <w:t>Concernant l’i</w:t>
      </w:r>
      <w:r w:rsidR="00164739">
        <w:rPr>
          <w:rFonts w:cstheme="minorHAnsi"/>
          <w:sz w:val="20"/>
          <w:szCs w:val="20"/>
        </w:rPr>
        <w:t>ntervention financière du FPSPP,</w:t>
      </w:r>
      <w:r w:rsidR="00792050" w:rsidRPr="00792050">
        <w:rPr>
          <w:rFonts w:cstheme="minorHAnsi"/>
          <w:sz w:val="20"/>
          <w:szCs w:val="20"/>
        </w:rPr>
        <w:t xml:space="preserve"> il</w:t>
      </w:r>
      <w:r w:rsidR="004728D9" w:rsidRPr="00792050">
        <w:rPr>
          <w:rFonts w:cstheme="minorHAnsi"/>
          <w:sz w:val="20"/>
          <w:szCs w:val="20"/>
        </w:rPr>
        <w:t xml:space="preserve"> porte sur les paiements </w:t>
      </w:r>
      <w:r w:rsidR="000D5437" w:rsidRPr="00792050">
        <w:rPr>
          <w:rFonts w:cstheme="minorHAnsi"/>
          <w:sz w:val="20"/>
          <w:szCs w:val="20"/>
        </w:rPr>
        <w:t>effectués entre le 01/01/201</w:t>
      </w:r>
      <w:r w:rsidR="00BB0E6D">
        <w:rPr>
          <w:rFonts w:cstheme="minorHAnsi"/>
          <w:sz w:val="20"/>
          <w:szCs w:val="20"/>
        </w:rPr>
        <w:t>3</w:t>
      </w:r>
      <w:r w:rsidR="000D5437" w:rsidRPr="00792050">
        <w:rPr>
          <w:rFonts w:cstheme="minorHAnsi"/>
          <w:sz w:val="20"/>
          <w:szCs w:val="20"/>
        </w:rPr>
        <w:t xml:space="preserve"> et le 31/12/2015</w:t>
      </w:r>
      <w:r w:rsidR="00792050">
        <w:rPr>
          <w:rFonts w:cstheme="minorHAnsi"/>
          <w:sz w:val="20"/>
          <w:szCs w:val="20"/>
        </w:rPr>
        <w:t xml:space="preserve"> </w:t>
      </w:r>
      <w:r w:rsidR="00BB0E6D">
        <w:rPr>
          <w:rFonts w:cstheme="minorHAnsi"/>
          <w:sz w:val="20"/>
          <w:szCs w:val="20"/>
        </w:rPr>
        <w:t>pour les Développeurs ayant été missionnés entre 2013 et 2015</w:t>
      </w:r>
      <w:r w:rsidR="000D5437" w:rsidRPr="00792050">
        <w:rPr>
          <w:rFonts w:cstheme="minorHAnsi"/>
          <w:sz w:val="20"/>
          <w:szCs w:val="20"/>
        </w:rPr>
        <w:t>, comme suit :</w:t>
      </w:r>
    </w:p>
    <w:p w:rsidR="009B2049" w:rsidRPr="00792050" w:rsidRDefault="009B2049" w:rsidP="00EF7BDA">
      <w:pPr>
        <w:pStyle w:val="Paragraphedeliste"/>
        <w:numPr>
          <w:ilvl w:val="0"/>
          <w:numId w:val="4"/>
        </w:numPr>
        <w:spacing w:after="0" w:line="240" w:lineRule="auto"/>
        <w:jc w:val="both"/>
        <w:rPr>
          <w:rFonts w:cstheme="minorHAnsi"/>
          <w:sz w:val="20"/>
          <w:szCs w:val="20"/>
        </w:rPr>
      </w:pPr>
      <w:r w:rsidRPr="00792050">
        <w:rPr>
          <w:rFonts w:cstheme="minorHAnsi"/>
          <w:sz w:val="20"/>
          <w:szCs w:val="20"/>
        </w:rPr>
        <w:t>1</w:t>
      </w:r>
      <w:r w:rsidRPr="00792050">
        <w:rPr>
          <w:rFonts w:cstheme="minorHAnsi"/>
          <w:sz w:val="20"/>
          <w:szCs w:val="20"/>
          <w:vertAlign w:val="superscript"/>
        </w:rPr>
        <w:t>ère</w:t>
      </w:r>
      <w:r w:rsidRPr="00792050">
        <w:rPr>
          <w:rFonts w:cstheme="minorHAnsi"/>
          <w:sz w:val="20"/>
          <w:szCs w:val="20"/>
        </w:rPr>
        <w:t xml:space="preserve"> tranche annuelle : du 01/01/2013 au 31/</w:t>
      </w:r>
      <w:r w:rsidR="00792050" w:rsidRPr="00792050">
        <w:rPr>
          <w:rFonts w:cstheme="minorHAnsi"/>
          <w:sz w:val="20"/>
          <w:szCs w:val="20"/>
        </w:rPr>
        <w:t>12/2013</w:t>
      </w:r>
      <w:r w:rsidRPr="00792050">
        <w:rPr>
          <w:rFonts w:cstheme="minorHAnsi"/>
          <w:sz w:val="20"/>
          <w:szCs w:val="20"/>
        </w:rPr>
        <w:t> ;</w:t>
      </w:r>
      <w:r w:rsidR="00E70844" w:rsidRPr="00792050">
        <w:rPr>
          <w:rFonts w:cstheme="minorHAnsi"/>
          <w:sz w:val="20"/>
          <w:szCs w:val="20"/>
        </w:rPr>
        <w:t xml:space="preserve"> </w:t>
      </w:r>
    </w:p>
    <w:p w:rsidR="009B2049" w:rsidRPr="00792050" w:rsidRDefault="009B2049" w:rsidP="00EF7BDA">
      <w:pPr>
        <w:pStyle w:val="Paragraphedeliste"/>
        <w:numPr>
          <w:ilvl w:val="0"/>
          <w:numId w:val="4"/>
        </w:numPr>
        <w:spacing w:after="0" w:line="240" w:lineRule="auto"/>
        <w:jc w:val="both"/>
        <w:rPr>
          <w:rFonts w:cstheme="minorHAnsi"/>
          <w:sz w:val="20"/>
          <w:szCs w:val="20"/>
        </w:rPr>
      </w:pPr>
      <w:r w:rsidRPr="00792050">
        <w:rPr>
          <w:rFonts w:cstheme="minorHAnsi"/>
          <w:sz w:val="20"/>
          <w:szCs w:val="20"/>
        </w:rPr>
        <w:t>2</w:t>
      </w:r>
      <w:r w:rsidRPr="00792050">
        <w:rPr>
          <w:rFonts w:cstheme="minorHAnsi"/>
          <w:sz w:val="20"/>
          <w:szCs w:val="20"/>
          <w:vertAlign w:val="superscript"/>
        </w:rPr>
        <w:t>ème</w:t>
      </w:r>
      <w:r w:rsidR="00792050" w:rsidRPr="00792050">
        <w:rPr>
          <w:rFonts w:cstheme="minorHAnsi"/>
          <w:sz w:val="20"/>
          <w:szCs w:val="20"/>
        </w:rPr>
        <w:t xml:space="preserve"> tranche annuelle : du 01/01/2014 au 31/12/2014</w:t>
      </w:r>
      <w:r w:rsidRPr="00792050">
        <w:rPr>
          <w:rFonts w:cstheme="minorHAnsi"/>
          <w:sz w:val="20"/>
          <w:szCs w:val="20"/>
        </w:rPr>
        <w:t> ;</w:t>
      </w:r>
    </w:p>
    <w:p w:rsidR="009B2049" w:rsidRPr="00792050" w:rsidRDefault="009B2049" w:rsidP="00EF7BDA">
      <w:pPr>
        <w:pStyle w:val="Paragraphedeliste"/>
        <w:numPr>
          <w:ilvl w:val="0"/>
          <w:numId w:val="4"/>
        </w:numPr>
        <w:spacing w:after="0" w:line="240" w:lineRule="auto"/>
        <w:jc w:val="both"/>
        <w:rPr>
          <w:rFonts w:cstheme="minorHAnsi"/>
          <w:sz w:val="20"/>
          <w:szCs w:val="20"/>
        </w:rPr>
      </w:pPr>
      <w:r w:rsidRPr="00792050">
        <w:rPr>
          <w:rFonts w:cstheme="minorHAnsi"/>
          <w:sz w:val="20"/>
          <w:szCs w:val="20"/>
        </w:rPr>
        <w:t>3</w:t>
      </w:r>
      <w:r w:rsidRPr="00792050">
        <w:rPr>
          <w:rFonts w:cstheme="minorHAnsi"/>
          <w:sz w:val="20"/>
          <w:szCs w:val="20"/>
          <w:vertAlign w:val="superscript"/>
        </w:rPr>
        <w:t>ème</w:t>
      </w:r>
      <w:r w:rsidR="00792050" w:rsidRPr="00792050">
        <w:rPr>
          <w:rFonts w:cstheme="minorHAnsi"/>
          <w:sz w:val="20"/>
          <w:szCs w:val="20"/>
        </w:rPr>
        <w:t xml:space="preserve"> tranche annuelle : du 01/01/2015 au 31/12</w:t>
      </w:r>
      <w:r w:rsidRPr="00792050">
        <w:rPr>
          <w:rFonts w:cstheme="minorHAnsi"/>
          <w:sz w:val="20"/>
          <w:szCs w:val="20"/>
        </w:rPr>
        <w:t>/201</w:t>
      </w:r>
      <w:r w:rsidR="00792050" w:rsidRPr="00792050">
        <w:rPr>
          <w:rFonts w:cstheme="minorHAnsi"/>
          <w:sz w:val="20"/>
          <w:szCs w:val="20"/>
        </w:rPr>
        <w:t>5</w:t>
      </w:r>
      <w:r w:rsidRPr="00792050">
        <w:rPr>
          <w:rFonts w:cstheme="minorHAnsi"/>
          <w:sz w:val="20"/>
          <w:szCs w:val="20"/>
        </w:rPr>
        <w:t>.</w:t>
      </w:r>
    </w:p>
    <w:p w:rsidR="002D714F" w:rsidRPr="002D714F" w:rsidRDefault="003A1E7D" w:rsidP="00EF7BDA">
      <w:pPr>
        <w:spacing w:after="0" w:line="240" w:lineRule="auto"/>
        <w:jc w:val="both"/>
        <w:rPr>
          <w:rFonts w:cstheme="minorHAnsi"/>
          <w:color w:val="0070C0"/>
          <w:sz w:val="20"/>
          <w:szCs w:val="20"/>
        </w:rPr>
      </w:pPr>
      <w:r w:rsidRPr="00792050">
        <w:rPr>
          <w:rFonts w:cstheme="minorHAnsi"/>
          <w:sz w:val="20"/>
          <w:szCs w:val="20"/>
        </w:rPr>
        <w:t xml:space="preserve">Le </w:t>
      </w:r>
      <w:r w:rsidR="003A6572" w:rsidRPr="00792050">
        <w:rPr>
          <w:rFonts w:cstheme="minorHAnsi"/>
          <w:sz w:val="20"/>
          <w:szCs w:val="20"/>
        </w:rPr>
        <w:t>bilan décrit</w:t>
      </w:r>
      <w:r w:rsidRPr="00792050">
        <w:rPr>
          <w:rFonts w:cstheme="minorHAnsi"/>
          <w:sz w:val="20"/>
          <w:szCs w:val="20"/>
        </w:rPr>
        <w:t xml:space="preserve"> les action</w:t>
      </w:r>
      <w:r w:rsidR="00D67737" w:rsidRPr="00792050">
        <w:rPr>
          <w:rFonts w:cstheme="minorHAnsi"/>
          <w:sz w:val="20"/>
          <w:szCs w:val="20"/>
        </w:rPr>
        <w:t>s réalisées, les modalités de mise en œuvre</w:t>
      </w:r>
      <w:r w:rsidR="00D67737" w:rsidRPr="00E07164">
        <w:rPr>
          <w:rFonts w:cstheme="minorHAnsi"/>
          <w:sz w:val="20"/>
          <w:szCs w:val="20"/>
        </w:rPr>
        <w:t xml:space="preserve"> et expliquant les écarts avec ce qui a été </w:t>
      </w:r>
      <w:r w:rsidR="00D67737" w:rsidRPr="00BB0E6D">
        <w:rPr>
          <w:rFonts w:cstheme="minorHAnsi"/>
          <w:sz w:val="20"/>
          <w:szCs w:val="20"/>
        </w:rPr>
        <w:t xml:space="preserve">conventionné. </w:t>
      </w:r>
      <w:r w:rsidR="002D714F" w:rsidRPr="00BB0E6D">
        <w:rPr>
          <w:rFonts w:cstheme="minorHAnsi"/>
          <w:sz w:val="20"/>
          <w:szCs w:val="20"/>
        </w:rPr>
        <w:t>Les bilans devront être remis le 31/01/N+1.</w:t>
      </w:r>
    </w:p>
    <w:p w:rsidR="00384F38" w:rsidRDefault="00EE5057" w:rsidP="003A6572">
      <w:pPr>
        <w:spacing w:after="0" w:line="240" w:lineRule="auto"/>
        <w:jc w:val="both"/>
        <w:rPr>
          <w:rFonts w:cstheme="minorHAnsi"/>
          <w:sz w:val="20"/>
          <w:szCs w:val="20"/>
        </w:rPr>
      </w:pPr>
      <w:r w:rsidRPr="00E07164">
        <w:rPr>
          <w:rFonts w:cstheme="minorHAnsi"/>
          <w:sz w:val="20"/>
          <w:szCs w:val="20"/>
        </w:rPr>
        <w:tab/>
      </w:r>
    </w:p>
    <w:p w:rsidR="00BB0E6D" w:rsidRPr="00E07164" w:rsidRDefault="00BB0E6D" w:rsidP="003A6572">
      <w:pPr>
        <w:spacing w:after="0" w:line="240" w:lineRule="auto"/>
        <w:jc w:val="both"/>
        <w:rPr>
          <w:rFonts w:cstheme="minorHAnsi"/>
          <w:sz w:val="20"/>
          <w:szCs w:val="20"/>
        </w:rPr>
      </w:pPr>
    </w:p>
    <w:p w:rsidR="00357925" w:rsidRPr="00E07164" w:rsidRDefault="00E27828" w:rsidP="00EF7BDA">
      <w:pPr>
        <w:spacing w:after="0" w:line="240" w:lineRule="auto"/>
        <w:jc w:val="both"/>
        <w:rPr>
          <w:rFonts w:cstheme="minorHAnsi"/>
          <w:b/>
          <w:color w:val="0070C0"/>
          <w:sz w:val="28"/>
          <w:szCs w:val="28"/>
        </w:rPr>
      </w:pPr>
      <w:r w:rsidRPr="00E07164">
        <w:rPr>
          <w:rFonts w:cstheme="minorHAnsi"/>
          <w:b/>
          <w:color w:val="0070C0"/>
          <w:sz w:val="28"/>
          <w:szCs w:val="28"/>
        </w:rPr>
        <w:t>Modalité de contrôles</w:t>
      </w:r>
    </w:p>
    <w:p w:rsidR="00DC6782" w:rsidRPr="00E07164" w:rsidRDefault="00DC6782" w:rsidP="00EF7BDA">
      <w:pPr>
        <w:spacing w:after="0" w:line="240" w:lineRule="auto"/>
        <w:jc w:val="both"/>
        <w:rPr>
          <w:rFonts w:cstheme="minorHAnsi"/>
          <w:sz w:val="20"/>
          <w:szCs w:val="20"/>
        </w:rPr>
      </w:pPr>
      <w:r w:rsidRPr="00E07164">
        <w:rPr>
          <w:rFonts w:cstheme="minorHAnsi"/>
          <w:sz w:val="20"/>
          <w:szCs w:val="20"/>
        </w:rPr>
        <w:t xml:space="preserve">Sur la base de la partie qualitative, le FPSPP détermine le périmètre de l’opération réalisée et rattachera les dépenses afférentes à ce dernier. La réalité des dépenses, déclarées dans le bilan sont vérifiées sur la base de pièces. </w:t>
      </w:r>
    </w:p>
    <w:p w:rsidR="00DC6782" w:rsidRPr="00E07164" w:rsidRDefault="00DC6782" w:rsidP="00EF7BDA">
      <w:pPr>
        <w:spacing w:after="0" w:line="240" w:lineRule="auto"/>
        <w:jc w:val="both"/>
        <w:rPr>
          <w:rFonts w:cstheme="minorHAnsi"/>
          <w:sz w:val="20"/>
          <w:szCs w:val="20"/>
        </w:rPr>
      </w:pPr>
    </w:p>
    <w:p w:rsidR="00807435" w:rsidRPr="00E07164" w:rsidRDefault="00807435" w:rsidP="00EF7BDA">
      <w:pPr>
        <w:spacing w:after="0" w:line="240" w:lineRule="auto"/>
        <w:jc w:val="both"/>
        <w:rPr>
          <w:rFonts w:cstheme="minorHAnsi"/>
          <w:sz w:val="20"/>
          <w:szCs w:val="20"/>
        </w:rPr>
      </w:pPr>
      <w:r w:rsidRPr="00E07164">
        <w:rPr>
          <w:rFonts w:cstheme="minorHAnsi"/>
          <w:sz w:val="20"/>
          <w:szCs w:val="20"/>
          <w:u w:val="single"/>
        </w:rPr>
        <w:t xml:space="preserve">Pour les </w:t>
      </w:r>
      <w:r w:rsidR="00792050">
        <w:rPr>
          <w:rFonts w:cstheme="minorHAnsi"/>
          <w:sz w:val="20"/>
          <w:szCs w:val="20"/>
          <w:u w:val="single"/>
        </w:rPr>
        <w:t>Développeurs</w:t>
      </w:r>
      <w:r w:rsidR="00B62568">
        <w:rPr>
          <w:rFonts w:cstheme="minorHAnsi"/>
          <w:sz w:val="20"/>
          <w:szCs w:val="20"/>
          <w:u w:val="single"/>
        </w:rPr>
        <w:t xml:space="preserve"> recrutés afin de promouvoir l’alternance</w:t>
      </w:r>
      <w:r w:rsidRPr="00E07164">
        <w:rPr>
          <w:rFonts w:cstheme="minorHAnsi"/>
          <w:sz w:val="20"/>
          <w:szCs w:val="20"/>
        </w:rPr>
        <w:t>, les pièces attendues sont :</w:t>
      </w:r>
    </w:p>
    <w:p w:rsidR="00807435" w:rsidRDefault="0064749F" w:rsidP="00EF7BDA">
      <w:pPr>
        <w:pStyle w:val="Paragraphedeliste"/>
        <w:numPr>
          <w:ilvl w:val="0"/>
          <w:numId w:val="4"/>
        </w:numPr>
        <w:spacing w:after="0" w:line="240" w:lineRule="auto"/>
        <w:jc w:val="both"/>
        <w:rPr>
          <w:rFonts w:cstheme="minorHAnsi"/>
          <w:sz w:val="20"/>
          <w:szCs w:val="20"/>
        </w:rPr>
      </w:pPr>
      <w:r>
        <w:rPr>
          <w:rFonts w:cstheme="minorHAnsi"/>
          <w:sz w:val="20"/>
          <w:szCs w:val="20"/>
        </w:rPr>
        <w:t xml:space="preserve">Les contrats de travail, </w:t>
      </w:r>
      <w:r w:rsidR="00B62568">
        <w:rPr>
          <w:rFonts w:cstheme="minorHAnsi"/>
          <w:sz w:val="20"/>
          <w:szCs w:val="20"/>
        </w:rPr>
        <w:t>les éventuels avenants </w:t>
      </w:r>
      <w:r>
        <w:rPr>
          <w:rFonts w:cstheme="minorHAnsi"/>
          <w:sz w:val="20"/>
          <w:szCs w:val="20"/>
        </w:rPr>
        <w:t xml:space="preserve">et les éventuelles lettres de missions </w:t>
      </w:r>
      <w:r w:rsidR="00B62568">
        <w:rPr>
          <w:rFonts w:cstheme="minorHAnsi"/>
          <w:sz w:val="20"/>
          <w:szCs w:val="20"/>
        </w:rPr>
        <w:t>;</w:t>
      </w:r>
    </w:p>
    <w:p w:rsidR="0064749F" w:rsidRPr="00CD5366" w:rsidRDefault="0064749F" w:rsidP="0064749F">
      <w:pPr>
        <w:pStyle w:val="Paragraphedeliste"/>
        <w:spacing w:after="0" w:line="240" w:lineRule="auto"/>
        <w:jc w:val="both"/>
        <w:rPr>
          <w:rFonts w:cstheme="minorHAnsi"/>
          <w:sz w:val="20"/>
          <w:szCs w:val="20"/>
        </w:rPr>
      </w:pPr>
      <w:r w:rsidRPr="00CD5366">
        <w:rPr>
          <w:rFonts w:cstheme="minorHAnsi"/>
          <w:b/>
          <w:sz w:val="20"/>
          <w:szCs w:val="20"/>
        </w:rPr>
        <w:t>FOCUS</w:t>
      </w:r>
      <w:r w:rsidRPr="00CD5366">
        <w:rPr>
          <w:rFonts w:cstheme="minorHAnsi"/>
          <w:sz w:val="20"/>
          <w:szCs w:val="20"/>
        </w:rPr>
        <w:t xml:space="preserve"> : </w:t>
      </w:r>
      <w:r w:rsidR="004D5E38" w:rsidRPr="00CD5366">
        <w:rPr>
          <w:rFonts w:cstheme="minorHAnsi"/>
          <w:sz w:val="20"/>
          <w:szCs w:val="20"/>
        </w:rPr>
        <w:t>en cas de</w:t>
      </w:r>
      <w:r w:rsidRPr="00CD5366">
        <w:rPr>
          <w:rFonts w:cstheme="minorHAnsi"/>
          <w:sz w:val="20"/>
          <w:szCs w:val="20"/>
        </w:rPr>
        <w:t xml:space="preserve"> lettres de mission</w:t>
      </w:r>
      <w:r w:rsidR="004D5E38" w:rsidRPr="00CD5366">
        <w:rPr>
          <w:rFonts w:cstheme="minorHAnsi"/>
          <w:sz w:val="20"/>
          <w:szCs w:val="20"/>
        </w:rPr>
        <w:t>, celles-ci</w:t>
      </w:r>
      <w:r w:rsidRPr="00CD5366">
        <w:rPr>
          <w:rFonts w:cstheme="minorHAnsi"/>
          <w:sz w:val="20"/>
          <w:szCs w:val="20"/>
        </w:rPr>
        <w:t xml:space="preserve"> doivent indiquer précisément les missions et le temps affecté à l’opération.</w:t>
      </w:r>
    </w:p>
    <w:p w:rsidR="00B62568" w:rsidRDefault="00B62568" w:rsidP="00EF7BDA">
      <w:pPr>
        <w:pStyle w:val="Paragraphedeliste"/>
        <w:numPr>
          <w:ilvl w:val="0"/>
          <w:numId w:val="4"/>
        </w:numPr>
        <w:spacing w:after="0" w:line="240" w:lineRule="auto"/>
        <w:jc w:val="both"/>
        <w:rPr>
          <w:rFonts w:cstheme="minorHAnsi"/>
          <w:sz w:val="20"/>
          <w:szCs w:val="20"/>
        </w:rPr>
      </w:pPr>
      <w:r>
        <w:rPr>
          <w:rFonts w:cstheme="minorHAnsi"/>
          <w:sz w:val="20"/>
          <w:szCs w:val="20"/>
        </w:rPr>
        <w:t>Les derniers bull</w:t>
      </w:r>
      <w:r w:rsidR="004D5E38">
        <w:rPr>
          <w:rFonts w:cstheme="minorHAnsi"/>
          <w:sz w:val="20"/>
          <w:szCs w:val="20"/>
        </w:rPr>
        <w:t>e</w:t>
      </w:r>
      <w:r>
        <w:rPr>
          <w:rFonts w:cstheme="minorHAnsi"/>
          <w:sz w:val="20"/>
          <w:szCs w:val="20"/>
        </w:rPr>
        <w:t>tins de paie de la tranche annuelle considérée ;</w:t>
      </w:r>
    </w:p>
    <w:p w:rsidR="00D02ECB" w:rsidRPr="00E07164" w:rsidRDefault="00D02ECB" w:rsidP="00D02ECB">
      <w:pPr>
        <w:spacing w:after="0" w:line="240" w:lineRule="auto"/>
        <w:jc w:val="both"/>
        <w:rPr>
          <w:rFonts w:cstheme="minorHAnsi"/>
          <w:sz w:val="20"/>
          <w:szCs w:val="20"/>
        </w:rPr>
      </w:pPr>
      <w:r w:rsidRPr="00E07164">
        <w:rPr>
          <w:rFonts w:cstheme="minorHAnsi"/>
          <w:sz w:val="20"/>
          <w:szCs w:val="20"/>
          <w:u w:val="single"/>
        </w:rPr>
        <w:t>Pour les actions de formation</w:t>
      </w:r>
      <w:r>
        <w:rPr>
          <w:rFonts w:cstheme="minorHAnsi"/>
          <w:sz w:val="20"/>
          <w:szCs w:val="20"/>
          <w:u w:val="single"/>
        </w:rPr>
        <w:t xml:space="preserve"> </w:t>
      </w:r>
      <w:r w:rsidR="00384F38">
        <w:rPr>
          <w:rFonts w:cstheme="minorHAnsi"/>
          <w:sz w:val="20"/>
          <w:szCs w:val="20"/>
          <w:u w:val="single"/>
        </w:rPr>
        <w:t>des Développeurs</w:t>
      </w:r>
      <w:r w:rsidRPr="00E07164">
        <w:rPr>
          <w:rFonts w:cstheme="minorHAnsi"/>
          <w:sz w:val="20"/>
          <w:szCs w:val="20"/>
        </w:rPr>
        <w:t>, les pièces attendues sont :</w:t>
      </w:r>
    </w:p>
    <w:p w:rsidR="00D02ECB" w:rsidRPr="00901369" w:rsidRDefault="00D02ECB" w:rsidP="00D02ECB">
      <w:pPr>
        <w:pStyle w:val="Paragraphedeliste"/>
        <w:numPr>
          <w:ilvl w:val="0"/>
          <w:numId w:val="4"/>
        </w:numPr>
        <w:spacing w:before="60" w:after="0" w:line="240" w:lineRule="auto"/>
        <w:jc w:val="both"/>
        <w:rPr>
          <w:rFonts w:cstheme="minorHAnsi"/>
          <w:sz w:val="20"/>
          <w:szCs w:val="20"/>
        </w:rPr>
      </w:pPr>
      <w:r w:rsidRPr="00901369">
        <w:rPr>
          <w:rFonts w:cstheme="minorHAnsi"/>
          <w:sz w:val="20"/>
          <w:szCs w:val="20"/>
        </w:rPr>
        <w:t xml:space="preserve">le programme de formation (mentionnant </w:t>
      </w:r>
      <w:r w:rsidR="00B62568" w:rsidRPr="00901369">
        <w:rPr>
          <w:rFonts w:cstheme="minorHAnsi"/>
          <w:sz w:val="20"/>
          <w:szCs w:val="20"/>
        </w:rPr>
        <w:t xml:space="preserve">le contenu, </w:t>
      </w:r>
      <w:r w:rsidRPr="00901369">
        <w:rPr>
          <w:rFonts w:cstheme="minorHAnsi"/>
          <w:sz w:val="20"/>
          <w:szCs w:val="20"/>
        </w:rPr>
        <w:t>le début et la fin de formation et le nombre d’heures)</w:t>
      </w:r>
      <w:r w:rsidR="00062D50" w:rsidRPr="00901369">
        <w:rPr>
          <w:rFonts w:cstheme="minorHAnsi"/>
          <w:sz w:val="20"/>
          <w:szCs w:val="20"/>
        </w:rPr>
        <w:t> ;</w:t>
      </w:r>
    </w:p>
    <w:p w:rsidR="000D4CEB" w:rsidRPr="00901369" w:rsidRDefault="00D02ECB" w:rsidP="000D4CEB">
      <w:pPr>
        <w:pStyle w:val="Paragraphedeliste"/>
        <w:numPr>
          <w:ilvl w:val="0"/>
          <w:numId w:val="4"/>
        </w:numPr>
        <w:spacing w:before="60" w:after="0" w:line="240" w:lineRule="auto"/>
        <w:jc w:val="both"/>
        <w:rPr>
          <w:rFonts w:cstheme="minorHAnsi"/>
          <w:sz w:val="20"/>
          <w:szCs w:val="20"/>
        </w:rPr>
      </w:pPr>
      <w:r w:rsidRPr="00901369">
        <w:rPr>
          <w:rFonts w:cstheme="minorHAnsi"/>
          <w:sz w:val="20"/>
          <w:szCs w:val="20"/>
        </w:rPr>
        <w:t xml:space="preserve">les </w:t>
      </w:r>
      <w:r w:rsidR="00901369" w:rsidRPr="00901369">
        <w:rPr>
          <w:rFonts w:cstheme="minorHAnsi"/>
          <w:sz w:val="20"/>
          <w:szCs w:val="20"/>
        </w:rPr>
        <w:t xml:space="preserve">attestations de présence ou </w:t>
      </w:r>
      <w:r w:rsidR="0002673B" w:rsidRPr="00901369">
        <w:rPr>
          <w:rFonts w:cstheme="minorHAnsi"/>
          <w:sz w:val="20"/>
          <w:szCs w:val="20"/>
        </w:rPr>
        <w:t>feuilles d’émargement par demi-journée</w:t>
      </w:r>
      <w:r w:rsidRPr="00901369">
        <w:rPr>
          <w:rFonts w:cstheme="minorHAnsi"/>
          <w:sz w:val="20"/>
          <w:szCs w:val="20"/>
        </w:rPr>
        <w:t xml:space="preserve">, cosignées par le </w:t>
      </w:r>
      <w:r w:rsidR="00901369" w:rsidRPr="00901369">
        <w:rPr>
          <w:rFonts w:cstheme="minorHAnsi"/>
          <w:sz w:val="20"/>
          <w:szCs w:val="20"/>
        </w:rPr>
        <w:t>Développeurs</w:t>
      </w:r>
      <w:r w:rsidR="00B62568" w:rsidRPr="00901369">
        <w:rPr>
          <w:rFonts w:cstheme="minorHAnsi"/>
          <w:sz w:val="20"/>
          <w:szCs w:val="20"/>
        </w:rPr>
        <w:t xml:space="preserve"> </w:t>
      </w:r>
      <w:r w:rsidRPr="00901369">
        <w:rPr>
          <w:rFonts w:cstheme="minorHAnsi"/>
          <w:sz w:val="20"/>
          <w:szCs w:val="20"/>
        </w:rPr>
        <w:t>et l’organisme de formation</w:t>
      </w:r>
      <w:r w:rsidR="00B62568" w:rsidRPr="00901369">
        <w:rPr>
          <w:rFonts w:cstheme="minorHAnsi"/>
          <w:sz w:val="20"/>
          <w:szCs w:val="20"/>
        </w:rPr>
        <w:t xml:space="preserve"> (ou le formateur interne)</w:t>
      </w:r>
      <w:r w:rsidRPr="00901369">
        <w:rPr>
          <w:rFonts w:cstheme="minorHAnsi"/>
          <w:sz w:val="20"/>
          <w:szCs w:val="20"/>
        </w:rPr>
        <w:t>, déclarant le nombre d</w:t>
      </w:r>
      <w:r w:rsidR="00062D50" w:rsidRPr="00901369">
        <w:rPr>
          <w:rFonts w:cstheme="minorHAnsi"/>
          <w:sz w:val="20"/>
          <w:szCs w:val="20"/>
        </w:rPr>
        <w:t>’</w:t>
      </w:r>
      <w:r w:rsidR="004D5E38">
        <w:rPr>
          <w:rFonts w:cstheme="minorHAnsi"/>
          <w:sz w:val="20"/>
          <w:szCs w:val="20"/>
        </w:rPr>
        <w:t xml:space="preserve">heures effectivement réalisées. </w:t>
      </w:r>
      <w:r w:rsidR="000D4CEB" w:rsidRPr="00901369">
        <w:rPr>
          <w:rFonts w:cstheme="minorHAnsi"/>
          <w:sz w:val="20"/>
          <w:szCs w:val="20"/>
        </w:rPr>
        <w:t>En cas de FOAD, elles pourront être remplacées par une attestation de suivi de la formation basée sur toutes preuves relatives à la réalité de la formation ;</w:t>
      </w:r>
    </w:p>
    <w:p w:rsidR="007D3141" w:rsidRPr="00901369" w:rsidRDefault="00D02ECB" w:rsidP="00D02ECB">
      <w:pPr>
        <w:pStyle w:val="Paragraphedeliste"/>
        <w:numPr>
          <w:ilvl w:val="0"/>
          <w:numId w:val="4"/>
        </w:numPr>
        <w:spacing w:before="60" w:after="0" w:line="240" w:lineRule="auto"/>
        <w:jc w:val="both"/>
        <w:rPr>
          <w:rFonts w:cstheme="minorHAnsi"/>
          <w:sz w:val="20"/>
          <w:szCs w:val="20"/>
          <w:u w:val="single"/>
        </w:rPr>
      </w:pPr>
      <w:r w:rsidRPr="00901369">
        <w:rPr>
          <w:rFonts w:cstheme="minorHAnsi"/>
          <w:sz w:val="20"/>
          <w:szCs w:val="20"/>
        </w:rPr>
        <w:t>La facture de l’organisme de formation</w:t>
      </w:r>
      <w:r w:rsidR="00792050">
        <w:rPr>
          <w:rFonts w:cstheme="minorHAnsi"/>
          <w:sz w:val="20"/>
          <w:szCs w:val="20"/>
        </w:rPr>
        <w:t> ;</w:t>
      </w:r>
      <w:r w:rsidR="00B62568" w:rsidRPr="00901369">
        <w:rPr>
          <w:rFonts w:cstheme="minorHAnsi"/>
          <w:sz w:val="20"/>
          <w:szCs w:val="20"/>
        </w:rPr>
        <w:t xml:space="preserve"> </w:t>
      </w:r>
    </w:p>
    <w:p w:rsidR="00B62568" w:rsidRDefault="00901369" w:rsidP="00B62568">
      <w:pPr>
        <w:pStyle w:val="Paragraphedeliste"/>
        <w:numPr>
          <w:ilvl w:val="0"/>
          <w:numId w:val="4"/>
        </w:numPr>
        <w:spacing w:before="60" w:after="0" w:line="240" w:lineRule="auto"/>
        <w:jc w:val="both"/>
      </w:pPr>
      <w:r w:rsidRPr="004D5E38">
        <w:rPr>
          <w:rFonts w:cstheme="minorHAnsi"/>
          <w:sz w:val="20"/>
          <w:szCs w:val="20"/>
        </w:rPr>
        <w:t xml:space="preserve">En cas de formation interne : </w:t>
      </w:r>
      <w:r w:rsidR="00792050" w:rsidRPr="004D5E38">
        <w:rPr>
          <w:rFonts w:cstheme="minorHAnsi"/>
          <w:sz w:val="20"/>
          <w:szCs w:val="20"/>
        </w:rPr>
        <w:t>l</w:t>
      </w:r>
      <w:r w:rsidR="00B62568" w:rsidRPr="004D5E38">
        <w:rPr>
          <w:rFonts w:cstheme="minorHAnsi"/>
          <w:sz w:val="20"/>
          <w:szCs w:val="20"/>
        </w:rPr>
        <w:t>e bulletin de salaire du formateur interne</w:t>
      </w:r>
      <w:r w:rsidR="004D5E38">
        <w:rPr>
          <w:rFonts w:cstheme="minorHAnsi"/>
          <w:sz w:val="20"/>
          <w:szCs w:val="20"/>
        </w:rPr>
        <w:t>.</w:t>
      </w:r>
      <w:r w:rsidR="004D5E38">
        <w:t xml:space="preserve"> </w:t>
      </w:r>
    </w:p>
    <w:p w:rsidR="00384F38" w:rsidRPr="00B62568" w:rsidRDefault="00384F38" w:rsidP="00B62568">
      <w:pPr>
        <w:spacing w:before="60" w:after="0" w:line="240" w:lineRule="auto"/>
        <w:jc w:val="both"/>
      </w:pPr>
    </w:p>
    <w:p w:rsidR="0040178E" w:rsidRPr="00E07164" w:rsidRDefault="002B1B84" w:rsidP="00EF7BDA">
      <w:pPr>
        <w:spacing w:after="0" w:line="240" w:lineRule="auto"/>
        <w:jc w:val="both"/>
        <w:rPr>
          <w:rFonts w:cstheme="minorHAnsi"/>
          <w:b/>
          <w:color w:val="0070C0"/>
          <w:sz w:val="28"/>
          <w:szCs w:val="28"/>
        </w:rPr>
      </w:pPr>
      <w:r w:rsidRPr="00E07164">
        <w:rPr>
          <w:rFonts w:cstheme="minorHAnsi"/>
          <w:b/>
          <w:color w:val="0070C0"/>
          <w:sz w:val="28"/>
          <w:szCs w:val="28"/>
        </w:rPr>
        <w:t>Paiements</w:t>
      </w:r>
    </w:p>
    <w:p w:rsidR="008B678C" w:rsidRPr="00277147" w:rsidRDefault="00C65369" w:rsidP="00BB0436">
      <w:pPr>
        <w:pStyle w:val="Paragraphedeliste"/>
        <w:numPr>
          <w:ilvl w:val="0"/>
          <w:numId w:val="4"/>
        </w:numPr>
        <w:spacing w:after="0" w:line="240" w:lineRule="auto"/>
        <w:jc w:val="both"/>
        <w:rPr>
          <w:rFonts w:cstheme="minorHAnsi"/>
          <w:sz w:val="20"/>
          <w:szCs w:val="20"/>
        </w:rPr>
      </w:pPr>
      <w:r w:rsidRPr="00277147">
        <w:rPr>
          <w:rFonts w:cstheme="minorHAnsi"/>
          <w:sz w:val="20"/>
          <w:szCs w:val="20"/>
        </w:rPr>
        <w:t>Solde clôturant une</w:t>
      </w:r>
      <w:r w:rsidR="0040178E" w:rsidRPr="00277147">
        <w:rPr>
          <w:rFonts w:cstheme="minorHAnsi"/>
          <w:sz w:val="20"/>
          <w:szCs w:val="20"/>
        </w:rPr>
        <w:t xml:space="preserve"> tranche</w:t>
      </w:r>
      <w:r w:rsidRPr="00277147">
        <w:rPr>
          <w:rFonts w:cstheme="minorHAnsi"/>
          <w:sz w:val="20"/>
          <w:szCs w:val="20"/>
        </w:rPr>
        <w:t xml:space="preserve"> ou solde </w:t>
      </w:r>
      <w:r w:rsidR="0040178E" w:rsidRPr="00277147">
        <w:rPr>
          <w:rFonts w:cstheme="minorHAnsi"/>
          <w:sz w:val="20"/>
          <w:szCs w:val="20"/>
        </w:rPr>
        <w:t>final</w:t>
      </w:r>
      <w:r w:rsidRPr="00277147">
        <w:rPr>
          <w:rFonts w:cstheme="minorHAnsi"/>
          <w:sz w:val="20"/>
          <w:szCs w:val="20"/>
        </w:rPr>
        <w:t xml:space="preserve"> : après contrôle de service fait du bilan annuel et validation des résultats, le FPSPP met en paiement </w:t>
      </w:r>
      <w:r w:rsidR="00356986" w:rsidRPr="00277147">
        <w:rPr>
          <w:rFonts w:cstheme="minorHAnsi"/>
          <w:sz w:val="20"/>
          <w:szCs w:val="20"/>
        </w:rPr>
        <w:t>l’aide financière du</w:t>
      </w:r>
      <w:r w:rsidRPr="00277147">
        <w:rPr>
          <w:rFonts w:cstheme="minorHAnsi"/>
          <w:sz w:val="20"/>
          <w:szCs w:val="20"/>
        </w:rPr>
        <w:t xml:space="preserve"> FPSPP. </w:t>
      </w:r>
      <w:bookmarkStart w:id="0" w:name="_GoBack"/>
      <w:bookmarkEnd w:id="0"/>
    </w:p>
    <w:sectPr w:rsidR="008B678C" w:rsidRPr="00277147" w:rsidSect="00F648A0">
      <w:headerReference w:type="even" r:id="rId10"/>
      <w:headerReference w:type="default" r:id="rId11"/>
      <w:footerReference w:type="default" r:id="rId12"/>
      <w:headerReference w:type="first" r:id="rId13"/>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36" w:rsidRDefault="000F4136" w:rsidP="00C912CD">
      <w:pPr>
        <w:spacing w:after="0" w:line="240" w:lineRule="auto"/>
      </w:pPr>
      <w:r>
        <w:separator/>
      </w:r>
    </w:p>
  </w:endnote>
  <w:endnote w:type="continuationSeparator" w:id="0">
    <w:p w:rsidR="000F4136" w:rsidRDefault="000F4136" w:rsidP="00C9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5370"/>
      <w:docPartObj>
        <w:docPartGallery w:val="Page Numbers (Bottom of Page)"/>
        <w:docPartUnique/>
      </w:docPartObj>
    </w:sdtPr>
    <w:sdtEndPr/>
    <w:sdtContent>
      <w:p w:rsidR="00B2226F" w:rsidRDefault="000F4136">
        <w:pPr>
          <w:pStyle w:val="Pieddepage"/>
          <w:jc w:val="center"/>
        </w:pPr>
        <w:r>
          <w:fldChar w:fldCharType="begin"/>
        </w:r>
        <w:r>
          <w:instrText xml:space="preserve"> PAGE   \* MERGEFORMAT </w:instrText>
        </w:r>
        <w:r>
          <w:fldChar w:fldCharType="separate"/>
        </w:r>
        <w:r w:rsidR="00AD3E2C">
          <w:rPr>
            <w:noProof/>
          </w:rPr>
          <w:t>2</w:t>
        </w:r>
        <w:r>
          <w:rPr>
            <w:noProof/>
          </w:rPr>
          <w:fldChar w:fldCharType="end"/>
        </w:r>
      </w:p>
    </w:sdtContent>
  </w:sdt>
  <w:p w:rsidR="00B2226F" w:rsidRDefault="00B222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36" w:rsidRDefault="000F4136" w:rsidP="00C912CD">
      <w:pPr>
        <w:spacing w:after="0" w:line="240" w:lineRule="auto"/>
      </w:pPr>
      <w:r>
        <w:separator/>
      </w:r>
    </w:p>
  </w:footnote>
  <w:footnote w:type="continuationSeparator" w:id="0">
    <w:p w:rsidR="000F4136" w:rsidRDefault="000F4136" w:rsidP="00C9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6F" w:rsidRDefault="00B222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6F" w:rsidRDefault="00B222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6F" w:rsidRDefault="00B222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EB3"/>
    <w:multiLevelType w:val="hybridMultilevel"/>
    <w:tmpl w:val="D02CE4D2"/>
    <w:lvl w:ilvl="0" w:tplc="3294A7FA">
      <w:numFmt w:val="bullet"/>
      <w:lvlText w:val="-"/>
      <w:lvlJc w:val="left"/>
      <w:pPr>
        <w:ind w:left="360" w:hanging="360"/>
      </w:pPr>
      <w:rPr>
        <w:rFonts w:ascii="Calibri" w:eastAsiaTheme="minorHAnsi" w:hAnsi="Calibri" w:cs="Calibri" w:hint="default"/>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90E72C2"/>
    <w:multiLevelType w:val="hybridMultilevel"/>
    <w:tmpl w:val="204EA21A"/>
    <w:lvl w:ilvl="0" w:tplc="05BC7364">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C213F1"/>
    <w:multiLevelType w:val="hybridMultilevel"/>
    <w:tmpl w:val="19542E30"/>
    <w:lvl w:ilvl="0" w:tplc="BE66F9F6">
      <w:numFmt w:val="bullet"/>
      <w:lvlText w:val="-"/>
      <w:lvlJc w:val="left"/>
      <w:pPr>
        <w:ind w:left="1428" w:hanging="360"/>
      </w:pPr>
      <w:rPr>
        <w:rFonts w:ascii="Arial" w:eastAsia="Times New Roman"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abstractNum w:abstractNumId="3">
    <w:nsid w:val="67CE0CD1"/>
    <w:multiLevelType w:val="hybridMultilevel"/>
    <w:tmpl w:val="2460F12A"/>
    <w:lvl w:ilvl="0" w:tplc="EEAAB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FC509B"/>
    <w:multiLevelType w:val="hybridMultilevel"/>
    <w:tmpl w:val="EFFE8240"/>
    <w:lvl w:ilvl="0" w:tplc="B1DE3F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39"/>
    <w:rsid w:val="0000762B"/>
    <w:rsid w:val="00007DB8"/>
    <w:rsid w:val="0001750C"/>
    <w:rsid w:val="0002673B"/>
    <w:rsid w:val="000309AD"/>
    <w:rsid w:val="00032E17"/>
    <w:rsid w:val="00056DC4"/>
    <w:rsid w:val="00062D50"/>
    <w:rsid w:val="00085BDA"/>
    <w:rsid w:val="00090347"/>
    <w:rsid w:val="00097CF3"/>
    <w:rsid w:val="000B24E1"/>
    <w:rsid w:val="000B79B7"/>
    <w:rsid w:val="000D473D"/>
    <w:rsid w:val="000D4CEB"/>
    <w:rsid w:val="000D5437"/>
    <w:rsid w:val="000E29F4"/>
    <w:rsid w:val="000F4136"/>
    <w:rsid w:val="000F7EEF"/>
    <w:rsid w:val="00110A87"/>
    <w:rsid w:val="0011746F"/>
    <w:rsid w:val="00121210"/>
    <w:rsid w:val="00121859"/>
    <w:rsid w:val="00123EEF"/>
    <w:rsid w:val="00141409"/>
    <w:rsid w:val="001577A1"/>
    <w:rsid w:val="00163E5F"/>
    <w:rsid w:val="00164739"/>
    <w:rsid w:val="00165F1C"/>
    <w:rsid w:val="00171B47"/>
    <w:rsid w:val="001727DB"/>
    <w:rsid w:val="001773C3"/>
    <w:rsid w:val="0018500B"/>
    <w:rsid w:val="00187783"/>
    <w:rsid w:val="001925EF"/>
    <w:rsid w:val="00194A88"/>
    <w:rsid w:val="001A3A45"/>
    <w:rsid w:val="001A4CE8"/>
    <w:rsid w:val="001A7C8C"/>
    <w:rsid w:val="001B7A41"/>
    <w:rsid w:val="001D2F81"/>
    <w:rsid w:val="001E3587"/>
    <w:rsid w:val="001E538F"/>
    <w:rsid w:val="001F2A54"/>
    <w:rsid w:val="001F3543"/>
    <w:rsid w:val="002070C8"/>
    <w:rsid w:val="00217DB9"/>
    <w:rsid w:val="0022190F"/>
    <w:rsid w:val="0022600D"/>
    <w:rsid w:val="002300C0"/>
    <w:rsid w:val="0023431A"/>
    <w:rsid w:val="002378E0"/>
    <w:rsid w:val="00246E0C"/>
    <w:rsid w:val="00247975"/>
    <w:rsid w:val="00251037"/>
    <w:rsid w:val="00256AAF"/>
    <w:rsid w:val="00266B73"/>
    <w:rsid w:val="00274707"/>
    <w:rsid w:val="00277147"/>
    <w:rsid w:val="00286F4B"/>
    <w:rsid w:val="00292A16"/>
    <w:rsid w:val="0029601F"/>
    <w:rsid w:val="00296B7E"/>
    <w:rsid w:val="002B1B84"/>
    <w:rsid w:val="002B6386"/>
    <w:rsid w:val="002C3020"/>
    <w:rsid w:val="002C42CE"/>
    <w:rsid w:val="002C5332"/>
    <w:rsid w:val="002D1902"/>
    <w:rsid w:val="002D714F"/>
    <w:rsid w:val="002E7960"/>
    <w:rsid w:val="002F0752"/>
    <w:rsid w:val="002F4868"/>
    <w:rsid w:val="00305458"/>
    <w:rsid w:val="00332EA1"/>
    <w:rsid w:val="003332C2"/>
    <w:rsid w:val="00351CB9"/>
    <w:rsid w:val="0035395C"/>
    <w:rsid w:val="00356986"/>
    <w:rsid w:val="00357925"/>
    <w:rsid w:val="0036012D"/>
    <w:rsid w:val="00361466"/>
    <w:rsid w:val="00374DBE"/>
    <w:rsid w:val="00376589"/>
    <w:rsid w:val="00377CC5"/>
    <w:rsid w:val="00380D43"/>
    <w:rsid w:val="00384F38"/>
    <w:rsid w:val="003A1E7D"/>
    <w:rsid w:val="003A229C"/>
    <w:rsid w:val="003A6572"/>
    <w:rsid w:val="003C6B57"/>
    <w:rsid w:val="003D5991"/>
    <w:rsid w:val="003E090A"/>
    <w:rsid w:val="003F447F"/>
    <w:rsid w:val="003F59DF"/>
    <w:rsid w:val="003F6259"/>
    <w:rsid w:val="0040178E"/>
    <w:rsid w:val="00405394"/>
    <w:rsid w:val="00405DBE"/>
    <w:rsid w:val="004069CE"/>
    <w:rsid w:val="00411AE9"/>
    <w:rsid w:val="004258B1"/>
    <w:rsid w:val="00432DE0"/>
    <w:rsid w:val="00435B8C"/>
    <w:rsid w:val="0044769A"/>
    <w:rsid w:val="00456034"/>
    <w:rsid w:val="00456C4D"/>
    <w:rsid w:val="00457849"/>
    <w:rsid w:val="0046461D"/>
    <w:rsid w:val="004715DB"/>
    <w:rsid w:val="00471F10"/>
    <w:rsid w:val="00472678"/>
    <w:rsid w:val="004728D9"/>
    <w:rsid w:val="004938A0"/>
    <w:rsid w:val="004A3245"/>
    <w:rsid w:val="004B453C"/>
    <w:rsid w:val="004B48B3"/>
    <w:rsid w:val="004B6486"/>
    <w:rsid w:val="004D5E38"/>
    <w:rsid w:val="004E7BF5"/>
    <w:rsid w:val="004F376C"/>
    <w:rsid w:val="004F7E98"/>
    <w:rsid w:val="00506B9B"/>
    <w:rsid w:val="0051023E"/>
    <w:rsid w:val="00512EFF"/>
    <w:rsid w:val="00517036"/>
    <w:rsid w:val="005264DD"/>
    <w:rsid w:val="005265FF"/>
    <w:rsid w:val="00532577"/>
    <w:rsid w:val="00540346"/>
    <w:rsid w:val="00557218"/>
    <w:rsid w:val="00567BF9"/>
    <w:rsid w:val="0057615C"/>
    <w:rsid w:val="005B0336"/>
    <w:rsid w:val="005D60D5"/>
    <w:rsid w:val="005E2F57"/>
    <w:rsid w:val="005E7D07"/>
    <w:rsid w:val="005F44FA"/>
    <w:rsid w:val="00602E1E"/>
    <w:rsid w:val="00605124"/>
    <w:rsid w:val="00611E73"/>
    <w:rsid w:val="0061233A"/>
    <w:rsid w:val="00615585"/>
    <w:rsid w:val="00617BD6"/>
    <w:rsid w:val="00640F92"/>
    <w:rsid w:val="006413BE"/>
    <w:rsid w:val="006441FA"/>
    <w:rsid w:val="006469FF"/>
    <w:rsid w:val="0064749F"/>
    <w:rsid w:val="00653947"/>
    <w:rsid w:val="0066530E"/>
    <w:rsid w:val="006716FF"/>
    <w:rsid w:val="00673669"/>
    <w:rsid w:val="006B5E26"/>
    <w:rsid w:val="006B6B10"/>
    <w:rsid w:val="006D0DFF"/>
    <w:rsid w:val="006D18E6"/>
    <w:rsid w:val="006E0883"/>
    <w:rsid w:val="006E4CE7"/>
    <w:rsid w:val="0070065E"/>
    <w:rsid w:val="0070572F"/>
    <w:rsid w:val="007143AF"/>
    <w:rsid w:val="00720693"/>
    <w:rsid w:val="00725E2E"/>
    <w:rsid w:val="00727338"/>
    <w:rsid w:val="00733F74"/>
    <w:rsid w:val="00766CBA"/>
    <w:rsid w:val="00773DB5"/>
    <w:rsid w:val="00776A91"/>
    <w:rsid w:val="0077786E"/>
    <w:rsid w:val="007811B3"/>
    <w:rsid w:val="00790F92"/>
    <w:rsid w:val="00792050"/>
    <w:rsid w:val="00792518"/>
    <w:rsid w:val="007A0A4B"/>
    <w:rsid w:val="007A50E3"/>
    <w:rsid w:val="007B38B0"/>
    <w:rsid w:val="007B38C0"/>
    <w:rsid w:val="007D13EA"/>
    <w:rsid w:val="007D3141"/>
    <w:rsid w:val="007D3953"/>
    <w:rsid w:val="007D445C"/>
    <w:rsid w:val="007D501D"/>
    <w:rsid w:val="007F1197"/>
    <w:rsid w:val="007F2D9E"/>
    <w:rsid w:val="007F6C1E"/>
    <w:rsid w:val="007F7782"/>
    <w:rsid w:val="008065C4"/>
    <w:rsid w:val="00807435"/>
    <w:rsid w:val="008372B6"/>
    <w:rsid w:val="00844D29"/>
    <w:rsid w:val="0085732E"/>
    <w:rsid w:val="00870D97"/>
    <w:rsid w:val="008A2CFA"/>
    <w:rsid w:val="008B678C"/>
    <w:rsid w:val="008C53E3"/>
    <w:rsid w:val="008D6F6D"/>
    <w:rsid w:val="008E0849"/>
    <w:rsid w:val="008E1FEE"/>
    <w:rsid w:val="00901369"/>
    <w:rsid w:val="0090256B"/>
    <w:rsid w:val="0090668D"/>
    <w:rsid w:val="00935A2B"/>
    <w:rsid w:val="009434EE"/>
    <w:rsid w:val="009678F2"/>
    <w:rsid w:val="009737CD"/>
    <w:rsid w:val="00977D76"/>
    <w:rsid w:val="00982750"/>
    <w:rsid w:val="0098793F"/>
    <w:rsid w:val="00997A6D"/>
    <w:rsid w:val="009B13C8"/>
    <w:rsid w:val="009B1646"/>
    <w:rsid w:val="009B2049"/>
    <w:rsid w:val="009C2E5D"/>
    <w:rsid w:val="009C70E5"/>
    <w:rsid w:val="009D0A50"/>
    <w:rsid w:val="009D0BD3"/>
    <w:rsid w:val="009D1822"/>
    <w:rsid w:val="009E05B3"/>
    <w:rsid w:val="009E591D"/>
    <w:rsid w:val="009E5DF2"/>
    <w:rsid w:val="009E6E31"/>
    <w:rsid w:val="009F0A36"/>
    <w:rsid w:val="009F7668"/>
    <w:rsid w:val="00A025D8"/>
    <w:rsid w:val="00A2276B"/>
    <w:rsid w:val="00A31714"/>
    <w:rsid w:val="00A419DF"/>
    <w:rsid w:val="00A5031A"/>
    <w:rsid w:val="00A517AE"/>
    <w:rsid w:val="00A60BA9"/>
    <w:rsid w:val="00A80245"/>
    <w:rsid w:val="00A83687"/>
    <w:rsid w:val="00A83B1F"/>
    <w:rsid w:val="00A85BA3"/>
    <w:rsid w:val="00AA4051"/>
    <w:rsid w:val="00AA495C"/>
    <w:rsid w:val="00AA52D6"/>
    <w:rsid w:val="00AC3B30"/>
    <w:rsid w:val="00AC5AFD"/>
    <w:rsid w:val="00AC7ED5"/>
    <w:rsid w:val="00AD193E"/>
    <w:rsid w:val="00AD3E2C"/>
    <w:rsid w:val="00AF0E35"/>
    <w:rsid w:val="00AF5E72"/>
    <w:rsid w:val="00B03582"/>
    <w:rsid w:val="00B2226F"/>
    <w:rsid w:val="00B304B5"/>
    <w:rsid w:val="00B40D0A"/>
    <w:rsid w:val="00B53C1D"/>
    <w:rsid w:val="00B54335"/>
    <w:rsid w:val="00B62568"/>
    <w:rsid w:val="00B63AA6"/>
    <w:rsid w:val="00B74BFF"/>
    <w:rsid w:val="00B81AAA"/>
    <w:rsid w:val="00BA7257"/>
    <w:rsid w:val="00BB0436"/>
    <w:rsid w:val="00BB0E6D"/>
    <w:rsid w:val="00BC0DEB"/>
    <w:rsid w:val="00BC2986"/>
    <w:rsid w:val="00BD5843"/>
    <w:rsid w:val="00BE1D80"/>
    <w:rsid w:val="00BE3F4E"/>
    <w:rsid w:val="00C0661D"/>
    <w:rsid w:val="00C06EC1"/>
    <w:rsid w:val="00C22400"/>
    <w:rsid w:val="00C30C12"/>
    <w:rsid w:val="00C61BFD"/>
    <w:rsid w:val="00C65369"/>
    <w:rsid w:val="00C7145F"/>
    <w:rsid w:val="00C72BD0"/>
    <w:rsid w:val="00C74A25"/>
    <w:rsid w:val="00C768D1"/>
    <w:rsid w:val="00C77894"/>
    <w:rsid w:val="00C912CD"/>
    <w:rsid w:val="00CA489A"/>
    <w:rsid w:val="00CB46F1"/>
    <w:rsid w:val="00CC4267"/>
    <w:rsid w:val="00CD5366"/>
    <w:rsid w:val="00CD6763"/>
    <w:rsid w:val="00CE0CAD"/>
    <w:rsid w:val="00CF4A85"/>
    <w:rsid w:val="00CF678A"/>
    <w:rsid w:val="00D02ECB"/>
    <w:rsid w:val="00D1163D"/>
    <w:rsid w:val="00D15AD6"/>
    <w:rsid w:val="00D31957"/>
    <w:rsid w:val="00D32272"/>
    <w:rsid w:val="00D548DE"/>
    <w:rsid w:val="00D57A22"/>
    <w:rsid w:val="00D6455C"/>
    <w:rsid w:val="00D67737"/>
    <w:rsid w:val="00D75E15"/>
    <w:rsid w:val="00D8006B"/>
    <w:rsid w:val="00D86197"/>
    <w:rsid w:val="00DB419D"/>
    <w:rsid w:val="00DC0C55"/>
    <w:rsid w:val="00DC6782"/>
    <w:rsid w:val="00DE434B"/>
    <w:rsid w:val="00DE4708"/>
    <w:rsid w:val="00DF3DC9"/>
    <w:rsid w:val="00DF444F"/>
    <w:rsid w:val="00DF459F"/>
    <w:rsid w:val="00E01DED"/>
    <w:rsid w:val="00E06DF2"/>
    <w:rsid w:val="00E07164"/>
    <w:rsid w:val="00E072FC"/>
    <w:rsid w:val="00E259FE"/>
    <w:rsid w:val="00E27828"/>
    <w:rsid w:val="00E3001F"/>
    <w:rsid w:val="00E41526"/>
    <w:rsid w:val="00E43468"/>
    <w:rsid w:val="00E45EAD"/>
    <w:rsid w:val="00E5069E"/>
    <w:rsid w:val="00E56204"/>
    <w:rsid w:val="00E70844"/>
    <w:rsid w:val="00E72351"/>
    <w:rsid w:val="00E8068F"/>
    <w:rsid w:val="00E82F38"/>
    <w:rsid w:val="00E86311"/>
    <w:rsid w:val="00E907A7"/>
    <w:rsid w:val="00E91513"/>
    <w:rsid w:val="00E962BD"/>
    <w:rsid w:val="00EB13FA"/>
    <w:rsid w:val="00EC7DAA"/>
    <w:rsid w:val="00ED1078"/>
    <w:rsid w:val="00ED45BF"/>
    <w:rsid w:val="00EE5057"/>
    <w:rsid w:val="00EF1934"/>
    <w:rsid w:val="00EF476B"/>
    <w:rsid w:val="00EF655F"/>
    <w:rsid w:val="00EF6FEB"/>
    <w:rsid w:val="00EF7BDA"/>
    <w:rsid w:val="00F145A3"/>
    <w:rsid w:val="00F157CB"/>
    <w:rsid w:val="00F16C5B"/>
    <w:rsid w:val="00F17BE9"/>
    <w:rsid w:val="00F23514"/>
    <w:rsid w:val="00F329AE"/>
    <w:rsid w:val="00F4526A"/>
    <w:rsid w:val="00F52617"/>
    <w:rsid w:val="00F53139"/>
    <w:rsid w:val="00F53588"/>
    <w:rsid w:val="00F55671"/>
    <w:rsid w:val="00F64357"/>
    <w:rsid w:val="00F648A0"/>
    <w:rsid w:val="00F720C1"/>
    <w:rsid w:val="00F76CEE"/>
    <w:rsid w:val="00F76F2F"/>
    <w:rsid w:val="00F97E2C"/>
    <w:rsid w:val="00FB50F2"/>
    <w:rsid w:val="00FC1975"/>
    <w:rsid w:val="00FD3FA3"/>
    <w:rsid w:val="00FE0421"/>
    <w:rsid w:val="00FE431A"/>
    <w:rsid w:val="00FE62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139"/>
    <w:pPr>
      <w:ind w:left="720"/>
      <w:contextualSpacing/>
    </w:pPr>
  </w:style>
  <w:style w:type="character" w:styleId="Marquedecommentaire">
    <w:name w:val="annotation reference"/>
    <w:basedOn w:val="Policepardfaut"/>
    <w:uiPriority w:val="99"/>
    <w:semiHidden/>
    <w:unhideWhenUsed/>
    <w:rsid w:val="009D0BD3"/>
    <w:rPr>
      <w:sz w:val="16"/>
      <w:szCs w:val="16"/>
    </w:rPr>
  </w:style>
  <w:style w:type="paragraph" w:styleId="Commentaire">
    <w:name w:val="annotation text"/>
    <w:basedOn w:val="Normal"/>
    <w:link w:val="CommentaireCar"/>
    <w:uiPriority w:val="99"/>
    <w:semiHidden/>
    <w:unhideWhenUsed/>
    <w:rsid w:val="009D0BD3"/>
    <w:pPr>
      <w:spacing w:line="240" w:lineRule="auto"/>
    </w:pPr>
    <w:rPr>
      <w:sz w:val="20"/>
      <w:szCs w:val="20"/>
    </w:rPr>
  </w:style>
  <w:style w:type="character" w:customStyle="1" w:styleId="CommentaireCar">
    <w:name w:val="Commentaire Car"/>
    <w:basedOn w:val="Policepardfaut"/>
    <w:link w:val="Commentaire"/>
    <w:uiPriority w:val="99"/>
    <w:semiHidden/>
    <w:rsid w:val="009D0BD3"/>
    <w:rPr>
      <w:sz w:val="20"/>
      <w:szCs w:val="20"/>
    </w:rPr>
  </w:style>
  <w:style w:type="paragraph" w:styleId="Objetducommentaire">
    <w:name w:val="annotation subject"/>
    <w:basedOn w:val="Commentaire"/>
    <w:next w:val="Commentaire"/>
    <w:link w:val="ObjetducommentaireCar"/>
    <w:uiPriority w:val="99"/>
    <w:semiHidden/>
    <w:unhideWhenUsed/>
    <w:rsid w:val="009D0BD3"/>
    <w:rPr>
      <w:b/>
      <w:bCs/>
    </w:rPr>
  </w:style>
  <w:style w:type="character" w:customStyle="1" w:styleId="ObjetducommentaireCar">
    <w:name w:val="Objet du commentaire Car"/>
    <w:basedOn w:val="CommentaireCar"/>
    <w:link w:val="Objetducommentaire"/>
    <w:uiPriority w:val="99"/>
    <w:semiHidden/>
    <w:rsid w:val="009D0BD3"/>
    <w:rPr>
      <w:b/>
      <w:bCs/>
      <w:sz w:val="20"/>
      <w:szCs w:val="20"/>
    </w:rPr>
  </w:style>
  <w:style w:type="paragraph" w:styleId="Textedebulles">
    <w:name w:val="Balloon Text"/>
    <w:basedOn w:val="Normal"/>
    <w:link w:val="TextedebullesCar"/>
    <w:uiPriority w:val="99"/>
    <w:semiHidden/>
    <w:unhideWhenUsed/>
    <w:rsid w:val="009D0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BD3"/>
    <w:rPr>
      <w:rFonts w:ascii="Tahoma" w:hAnsi="Tahoma" w:cs="Tahoma"/>
      <w:sz w:val="16"/>
      <w:szCs w:val="16"/>
    </w:rPr>
  </w:style>
  <w:style w:type="paragraph" w:styleId="En-tte">
    <w:name w:val="header"/>
    <w:basedOn w:val="Normal"/>
    <w:link w:val="En-tteCar"/>
    <w:uiPriority w:val="99"/>
    <w:unhideWhenUsed/>
    <w:rsid w:val="00C912CD"/>
    <w:pPr>
      <w:tabs>
        <w:tab w:val="center" w:pos="4536"/>
        <w:tab w:val="right" w:pos="9072"/>
      </w:tabs>
      <w:spacing w:after="0" w:line="240" w:lineRule="auto"/>
    </w:pPr>
  </w:style>
  <w:style w:type="character" w:customStyle="1" w:styleId="En-tteCar">
    <w:name w:val="En-tête Car"/>
    <w:basedOn w:val="Policepardfaut"/>
    <w:link w:val="En-tte"/>
    <w:uiPriority w:val="99"/>
    <w:rsid w:val="00C912CD"/>
  </w:style>
  <w:style w:type="paragraph" w:styleId="Pieddepage">
    <w:name w:val="footer"/>
    <w:basedOn w:val="Normal"/>
    <w:link w:val="PieddepageCar"/>
    <w:uiPriority w:val="99"/>
    <w:unhideWhenUsed/>
    <w:rsid w:val="00C91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2CD"/>
  </w:style>
  <w:style w:type="paragraph" w:customStyle="1" w:styleId="Default">
    <w:name w:val="Default"/>
    <w:rsid w:val="00EF1934"/>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A836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3687"/>
    <w:rPr>
      <w:sz w:val="20"/>
      <w:szCs w:val="20"/>
    </w:rPr>
  </w:style>
  <w:style w:type="character" w:styleId="Appelnotedebasdep">
    <w:name w:val="footnote reference"/>
    <w:basedOn w:val="Policepardfaut"/>
    <w:uiPriority w:val="99"/>
    <w:semiHidden/>
    <w:unhideWhenUsed/>
    <w:rsid w:val="00A836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139"/>
    <w:pPr>
      <w:ind w:left="720"/>
      <w:contextualSpacing/>
    </w:pPr>
  </w:style>
  <w:style w:type="character" w:styleId="Marquedecommentaire">
    <w:name w:val="annotation reference"/>
    <w:basedOn w:val="Policepardfaut"/>
    <w:uiPriority w:val="99"/>
    <w:semiHidden/>
    <w:unhideWhenUsed/>
    <w:rsid w:val="009D0BD3"/>
    <w:rPr>
      <w:sz w:val="16"/>
      <w:szCs w:val="16"/>
    </w:rPr>
  </w:style>
  <w:style w:type="paragraph" w:styleId="Commentaire">
    <w:name w:val="annotation text"/>
    <w:basedOn w:val="Normal"/>
    <w:link w:val="CommentaireCar"/>
    <w:uiPriority w:val="99"/>
    <w:semiHidden/>
    <w:unhideWhenUsed/>
    <w:rsid w:val="009D0BD3"/>
    <w:pPr>
      <w:spacing w:line="240" w:lineRule="auto"/>
    </w:pPr>
    <w:rPr>
      <w:sz w:val="20"/>
      <w:szCs w:val="20"/>
    </w:rPr>
  </w:style>
  <w:style w:type="character" w:customStyle="1" w:styleId="CommentaireCar">
    <w:name w:val="Commentaire Car"/>
    <w:basedOn w:val="Policepardfaut"/>
    <w:link w:val="Commentaire"/>
    <w:uiPriority w:val="99"/>
    <w:semiHidden/>
    <w:rsid w:val="009D0BD3"/>
    <w:rPr>
      <w:sz w:val="20"/>
      <w:szCs w:val="20"/>
    </w:rPr>
  </w:style>
  <w:style w:type="paragraph" w:styleId="Objetducommentaire">
    <w:name w:val="annotation subject"/>
    <w:basedOn w:val="Commentaire"/>
    <w:next w:val="Commentaire"/>
    <w:link w:val="ObjetducommentaireCar"/>
    <w:uiPriority w:val="99"/>
    <w:semiHidden/>
    <w:unhideWhenUsed/>
    <w:rsid w:val="009D0BD3"/>
    <w:rPr>
      <w:b/>
      <w:bCs/>
    </w:rPr>
  </w:style>
  <w:style w:type="character" w:customStyle="1" w:styleId="ObjetducommentaireCar">
    <w:name w:val="Objet du commentaire Car"/>
    <w:basedOn w:val="CommentaireCar"/>
    <w:link w:val="Objetducommentaire"/>
    <w:uiPriority w:val="99"/>
    <w:semiHidden/>
    <w:rsid w:val="009D0BD3"/>
    <w:rPr>
      <w:b/>
      <w:bCs/>
      <w:sz w:val="20"/>
      <w:szCs w:val="20"/>
    </w:rPr>
  </w:style>
  <w:style w:type="paragraph" w:styleId="Textedebulles">
    <w:name w:val="Balloon Text"/>
    <w:basedOn w:val="Normal"/>
    <w:link w:val="TextedebullesCar"/>
    <w:uiPriority w:val="99"/>
    <w:semiHidden/>
    <w:unhideWhenUsed/>
    <w:rsid w:val="009D0B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BD3"/>
    <w:rPr>
      <w:rFonts w:ascii="Tahoma" w:hAnsi="Tahoma" w:cs="Tahoma"/>
      <w:sz w:val="16"/>
      <w:szCs w:val="16"/>
    </w:rPr>
  </w:style>
  <w:style w:type="paragraph" w:styleId="En-tte">
    <w:name w:val="header"/>
    <w:basedOn w:val="Normal"/>
    <w:link w:val="En-tteCar"/>
    <w:uiPriority w:val="99"/>
    <w:unhideWhenUsed/>
    <w:rsid w:val="00C912CD"/>
    <w:pPr>
      <w:tabs>
        <w:tab w:val="center" w:pos="4536"/>
        <w:tab w:val="right" w:pos="9072"/>
      </w:tabs>
      <w:spacing w:after="0" w:line="240" w:lineRule="auto"/>
    </w:pPr>
  </w:style>
  <w:style w:type="character" w:customStyle="1" w:styleId="En-tteCar">
    <w:name w:val="En-tête Car"/>
    <w:basedOn w:val="Policepardfaut"/>
    <w:link w:val="En-tte"/>
    <w:uiPriority w:val="99"/>
    <w:rsid w:val="00C912CD"/>
  </w:style>
  <w:style w:type="paragraph" w:styleId="Pieddepage">
    <w:name w:val="footer"/>
    <w:basedOn w:val="Normal"/>
    <w:link w:val="PieddepageCar"/>
    <w:uiPriority w:val="99"/>
    <w:unhideWhenUsed/>
    <w:rsid w:val="00C912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2CD"/>
  </w:style>
  <w:style w:type="paragraph" w:customStyle="1" w:styleId="Default">
    <w:name w:val="Default"/>
    <w:rsid w:val="00EF1934"/>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A836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3687"/>
    <w:rPr>
      <w:sz w:val="20"/>
      <w:szCs w:val="20"/>
    </w:rPr>
  </w:style>
  <w:style w:type="character" w:styleId="Appelnotedebasdep">
    <w:name w:val="footnote reference"/>
    <w:basedOn w:val="Policepardfaut"/>
    <w:uiPriority w:val="99"/>
    <w:semiHidden/>
    <w:unhideWhenUsed/>
    <w:rsid w:val="00A83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A7C7-4959-4D9F-B3C1-0B306811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5648</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Grimoldi</dc:creator>
  <cp:lastModifiedBy>Marine Grimoldi</cp:lastModifiedBy>
  <cp:revision>2</cp:revision>
  <cp:lastPrinted>2013-04-02T12:02:00Z</cp:lastPrinted>
  <dcterms:created xsi:type="dcterms:W3CDTF">2015-04-03T08:22:00Z</dcterms:created>
  <dcterms:modified xsi:type="dcterms:W3CDTF">2015-04-03T08:22:00Z</dcterms:modified>
</cp:coreProperties>
</file>